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5D9" w:rsidRDefault="00AE45D9" w:rsidP="005268D7">
      <w:pPr>
        <w:pStyle w:val="NormalWeb"/>
        <w:numPr>
          <w:ilvl w:val="0"/>
          <w:numId w:val="11"/>
        </w:numPr>
      </w:pPr>
      <w:r>
        <w:t xml:space="preserve">Współczynnik Giniego jako miara nierówności. </w:t>
      </w:r>
    </w:p>
    <w:p w:rsidR="00AE45D9" w:rsidRPr="005268D7" w:rsidRDefault="00AE45D9" w:rsidP="005268D7">
      <w:pPr>
        <w:spacing w:before="100" w:beforeAutospacing="1" w:after="100" w:afterAutospacing="1" w:line="240" w:lineRule="auto"/>
        <w:outlineLvl w:val="2"/>
        <w:rPr>
          <w:rFonts w:ascii="Times New Roman" w:hAnsi="Times New Roman"/>
          <w:b/>
          <w:bCs/>
          <w:sz w:val="27"/>
          <w:szCs w:val="27"/>
          <w:lang w:eastAsia="pl-PL"/>
        </w:rPr>
      </w:pPr>
      <w:r w:rsidRPr="005268D7">
        <w:rPr>
          <w:rFonts w:ascii="Times New Roman" w:hAnsi="Times New Roman"/>
          <w:b/>
          <w:bCs/>
          <w:sz w:val="27"/>
          <w:szCs w:val="27"/>
          <w:lang w:eastAsia="pl-PL"/>
        </w:rPr>
        <w:t xml:space="preserve">Interpretacja graficzna </w:t>
      </w:r>
      <w:r w:rsidRPr="005268D7">
        <w:rPr>
          <w:rFonts w:ascii="Times New Roman" w:hAnsi="Times New Roman"/>
          <w:sz w:val="20"/>
          <w:lang w:eastAsia="pl-PL"/>
        </w:rPr>
        <w:t>[</w:t>
      </w:r>
      <w:hyperlink r:id="rId7" w:tooltip="Edytuj sekcję: Interpretacja graficzna" w:history="1">
        <w:r w:rsidRPr="005268D7">
          <w:rPr>
            <w:rFonts w:ascii="Times New Roman" w:hAnsi="Times New Roman"/>
            <w:color w:val="0000FF"/>
            <w:sz w:val="20"/>
            <w:u w:val="single"/>
            <w:lang w:eastAsia="pl-PL"/>
          </w:rPr>
          <w:t>edytuj</w:t>
        </w:r>
      </w:hyperlink>
      <w:r w:rsidRPr="005268D7">
        <w:rPr>
          <w:rFonts w:ascii="Times New Roman" w:hAnsi="Times New Roman"/>
          <w:sz w:val="20"/>
          <w:lang w:eastAsia="pl-PL"/>
        </w:rPr>
        <w:t>]</w:t>
      </w:r>
    </w:p>
    <w:p w:rsidR="00AE45D9" w:rsidRPr="005268D7" w:rsidRDefault="00AE45D9" w:rsidP="005268D7">
      <w:pPr>
        <w:spacing w:after="0" w:line="240" w:lineRule="auto"/>
        <w:rPr>
          <w:rFonts w:ascii="Times New Roman" w:hAnsi="Times New Roman"/>
          <w:sz w:val="24"/>
          <w:szCs w:val="24"/>
          <w:lang w:eastAsia="pl-PL"/>
        </w:rPr>
      </w:pPr>
      <w:hyperlink r:id="rId8" w:history="1">
        <w:r w:rsidRPr="00EA0779">
          <w:rPr>
            <w:rFonts w:ascii="Times New Roman" w:hAnsi="Times New Roman"/>
            <w:noProof/>
            <w:color w:val="0000FF"/>
            <w:sz w:val="24"/>
            <w:szCs w:val="24"/>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i1025" type="#_x0000_t75" alt="http://upload.wikimedia.org/wikipedia/commons/thumb/b/bc/Gini_coefficient.svg/150px-Gini_coefficient.svg.png" href="http://pl.wikipedia.org/wiki/Plik:Gini_coefficient.s" style="width:112.5pt;height:112.5pt;visibility:visible" o:button="t">
              <v:fill o:detectmouseclick="t"/>
              <v:imagedata r:id="rId9" o:title=""/>
            </v:shape>
          </w:pict>
        </w:r>
      </w:hyperlink>
    </w:p>
    <w:p w:rsidR="00AE45D9" w:rsidRPr="005268D7" w:rsidRDefault="00AE45D9" w:rsidP="005268D7">
      <w:pPr>
        <w:spacing w:after="0" w:line="240" w:lineRule="auto"/>
        <w:rPr>
          <w:rFonts w:ascii="Times New Roman" w:hAnsi="Times New Roman"/>
          <w:sz w:val="24"/>
          <w:szCs w:val="24"/>
          <w:lang w:eastAsia="pl-PL"/>
        </w:rPr>
      </w:pPr>
      <w:hyperlink r:id="rId10" w:tooltip="Powiększ" w:history="1">
        <w:r w:rsidRPr="00EA0779">
          <w:rPr>
            <w:rFonts w:ascii="Times New Roman" w:hAnsi="Times New Roman"/>
            <w:noProof/>
            <w:color w:val="0000FF"/>
            <w:sz w:val="24"/>
            <w:szCs w:val="24"/>
            <w:lang w:eastAsia="pl-PL"/>
          </w:rPr>
          <w:pict>
            <v:shape id="Obraz 2" o:spid="_x0000_i1026" type="#_x0000_t75" alt="http://bits.wikimedia.org/skins-1.5/common/images/magnify-clip.png" href="http://pl.wikipedia.org/wiki/Plik:Gini_coefficient.s" title="Powiększ" style="width:11.25pt;height:8.25pt;visibility:visible" o:button="t">
              <v:fill o:detectmouseclick="t"/>
              <v:imagedata r:id="rId11" o:title=""/>
            </v:shape>
          </w:pict>
        </w:r>
      </w:hyperlink>
    </w:p>
    <w:p w:rsidR="00AE45D9" w:rsidRPr="005268D7" w:rsidRDefault="00AE45D9" w:rsidP="005268D7">
      <w:pPr>
        <w:spacing w:after="0" w:line="240" w:lineRule="auto"/>
        <w:rPr>
          <w:rFonts w:ascii="Times New Roman" w:hAnsi="Times New Roman"/>
          <w:sz w:val="24"/>
          <w:szCs w:val="24"/>
          <w:lang w:eastAsia="pl-PL"/>
        </w:rPr>
      </w:pPr>
      <w:r w:rsidRPr="005268D7">
        <w:rPr>
          <w:rFonts w:ascii="Times New Roman" w:hAnsi="Times New Roman"/>
          <w:sz w:val="24"/>
          <w:szCs w:val="24"/>
          <w:lang w:eastAsia="pl-PL"/>
        </w:rPr>
        <w:t xml:space="preserve">Jeżeli bok kwadratu ma długość 1, to współczynnik Giniego jest równy podwojonemu polu obszaru oznaczonego przez </w:t>
      </w:r>
      <w:r w:rsidRPr="005268D7">
        <w:rPr>
          <w:rFonts w:ascii="Times New Roman" w:hAnsi="Times New Roman"/>
          <w:i/>
          <w:iCs/>
          <w:sz w:val="24"/>
          <w:szCs w:val="24"/>
          <w:lang w:eastAsia="pl-PL"/>
        </w:rPr>
        <w:t>a</w:t>
      </w:r>
    </w:p>
    <w:p w:rsidR="00AE45D9" w:rsidRPr="005268D7" w:rsidRDefault="00AE45D9" w:rsidP="005268D7">
      <w:pPr>
        <w:spacing w:before="100" w:beforeAutospacing="1" w:after="100" w:afterAutospacing="1" w:line="240" w:lineRule="auto"/>
        <w:rPr>
          <w:rFonts w:ascii="Times New Roman" w:hAnsi="Times New Roman"/>
          <w:sz w:val="24"/>
          <w:szCs w:val="24"/>
          <w:lang w:eastAsia="pl-PL"/>
        </w:rPr>
      </w:pPr>
      <w:r w:rsidRPr="005268D7">
        <w:rPr>
          <w:rFonts w:ascii="Times New Roman" w:hAnsi="Times New Roman"/>
          <w:sz w:val="24"/>
          <w:szCs w:val="24"/>
          <w:lang w:eastAsia="pl-PL"/>
        </w:rPr>
        <w:t xml:space="preserve">Współczynnik Giniego stanowi </w:t>
      </w:r>
      <w:hyperlink r:id="rId12" w:tooltip="Pole powierzchni" w:history="1">
        <w:r w:rsidRPr="005268D7">
          <w:rPr>
            <w:rFonts w:ascii="Times New Roman" w:hAnsi="Times New Roman"/>
            <w:color w:val="0000FF"/>
            <w:sz w:val="24"/>
            <w:szCs w:val="24"/>
            <w:u w:val="single"/>
            <w:lang w:eastAsia="pl-PL"/>
          </w:rPr>
          <w:t>pole</w:t>
        </w:r>
      </w:hyperlink>
      <w:r w:rsidRPr="005268D7">
        <w:rPr>
          <w:rFonts w:ascii="Times New Roman" w:hAnsi="Times New Roman"/>
          <w:sz w:val="24"/>
          <w:szCs w:val="24"/>
          <w:lang w:eastAsia="pl-PL"/>
        </w:rPr>
        <w:t xml:space="preserve"> obszaru pomiędzy </w:t>
      </w:r>
      <w:hyperlink r:id="rId13" w:tooltip="Krzywa Lorenza" w:history="1">
        <w:r w:rsidRPr="005268D7">
          <w:rPr>
            <w:rFonts w:ascii="Times New Roman" w:hAnsi="Times New Roman"/>
            <w:color w:val="0000FF"/>
            <w:sz w:val="24"/>
            <w:szCs w:val="24"/>
            <w:u w:val="single"/>
            <w:lang w:eastAsia="pl-PL"/>
          </w:rPr>
          <w:t>krzywą Lorenza</w:t>
        </w:r>
      </w:hyperlink>
      <w:r w:rsidRPr="005268D7">
        <w:rPr>
          <w:rFonts w:ascii="Times New Roman" w:hAnsi="Times New Roman"/>
          <w:sz w:val="24"/>
          <w:szCs w:val="24"/>
          <w:lang w:eastAsia="pl-PL"/>
        </w:rPr>
        <w:t xml:space="preserve"> a przekątną </w:t>
      </w:r>
      <w:hyperlink r:id="rId14" w:tooltip="Kwadrat jednostkowy" w:history="1">
        <w:r w:rsidRPr="005268D7">
          <w:rPr>
            <w:rFonts w:ascii="Times New Roman" w:hAnsi="Times New Roman"/>
            <w:color w:val="0000FF"/>
            <w:sz w:val="24"/>
            <w:szCs w:val="24"/>
            <w:u w:val="single"/>
            <w:lang w:eastAsia="pl-PL"/>
          </w:rPr>
          <w:t>kwadratu jednostkowego</w:t>
        </w:r>
      </w:hyperlink>
      <w:r w:rsidRPr="005268D7">
        <w:rPr>
          <w:rFonts w:ascii="Times New Roman" w:hAnsi="Times New Roman"/>
          <w:sz w:val="24"/>
          <w:szCs w:val="24"/>
          <w:lang w:eastAsia="pl-PL"/>
        </w:rPr>
        <w:t xml:space="preserve"> pomnożone przez 2. W przypadku, gdy bok kwadratu jest różny od 1 (krzywa Lorenza jest nieznormalizowana), wzór przyjmuje postać:</w:t>
      </w:r>
    </w:p>
    <w:p w:rsidR="00AE45D9" w:rsidRPr="005268D7" w:rsidRDefault="00AE45D9" w:rsidP="005268D7">
      <w:pPr>
        <w:spacing w:after="0" w:line="240" w:lineRule="auto"/>
        <w:ind w:left="720"/>
        <w:rPr>
          <w:rFonts w:ascii="Times New Roman" w:hAnsi="Times New Roman"/>
          <w:sz w:val="24"/>
          <w:szCs w:val="24"/>
          <w:lang w:eastAsia="pl-PL"/>
        </w:rPr>
      </w:pPr>
      <w:r w:rsidRPr="00EA0779">
        <w:rPr>
          <w:rFonts w:ascii="Times New Roman" w:hAnsi="Times New Roman"/>
          <w:noProof/>
          <w:sz w:val="24"/>
          <w:szCs w:val="24"/>
          <w:lang w:eastAsia="pl-PL"/>
        </w:rPr>
        <w:pict>
          <v:shape id="Obraz 3" o:spid="_x0000_i1027" type="#_x0000_t75" alt="G=\frac{a}{a+b}" style="width:64.5pt;height:28.5pt;visibility:visible">
            <v:imagedata r:id="rId15" o:title=""/>
          </v:shape>
        </w:pict>
      </w:r>
    </w:p>
    <w:p w:rsidR="00AE45D9" w:rsidRPr="005268D7" w:rsidRDefault="00AE45D9" w:rsidP="005268D7">
      <w:pPr>
        <w:spacing w:before="100" w:beforeAutospacing="1" w:after="100" w:afterAutospacing="1" w:line="240" w:lineRule="auto"/>
        <w:rPr>
          <w:rFonts w:ascii="Times New Roman" w:hAnsi="Times New Roman"/>
          <w:sz w:val="24"/>
          <w:szCs w:val="24"/>
          <w:lang w:eastAsia="pl-PL"/>
        </w:rPr>
      </w:pPr>
      <w:r w:rsidRPr="005268D7">
        <w:rPr>
          <w:rFonts w:ascii="Times New Roman" w:hAnsi="Times New Roman"/>
          <w:sz w:val="24"/>
          <w:szCs w:val="24"/>
          <w:lang w:eastAsia="pl-PL"/>
        </w:rPr>
        <w:t xml:space="preserve">gdzie </w:t>
      </w:r>
      <w:r w:rsidRPr="005268D7">
        <w:rPr>
          <w:rFonts w:ascii="Times New Roman" w:hAnsi="Times New Roman"/>
          <w:i/>
          <w:iCs/>
          <w:sz w:val="24"/>
          <w:szCs w:val="24"/>
          <w:lang w:eastAsia="pl-PL"/>
        </w:rPr>
        <w:t>a</w:t>
      </w:r>
      <w:r w:rsidRPr="005268D7">
        <w:rPr>
          <w:rFonts w:ascii="Times New Roman" w:hAnsi="Times New Roman"/>
          <w:sz w:val="24"/>
          <w:szCs w:val="24"/>
          <w:lang w:eastAsia="pl-PL"/>
        </w:rPr>
        <w:t xml:space="preserve"> to pole wspomnianego wcześniej obszaru, a </w:t>
      </w:r>
      <w:r w:rsidRPr="005268D7">
        <w:rPr>
          <w:rFonts w:ascii="Times New Roman" w:hAnsi="Times New Roman"/>
          <w:i/>
          <w:iCs/>
          <w:sz w:val="24"/>
          <w:szCs w:val="24"/>
          <w:lang w:eastAsia="pl-PL"/>
        </w:rPr>
        <w:t>b</w:t>
      </w:r>
      <w:r w:rsidRPr="005268D7">
        <w:rPr>
          <w:rFonts w:ascii="Times New Roman" w:hAnsi="Times New Roman"/>
          <w:sz w:val="24"/>
          <w:szCs w:val="24"/>
          <w:lang w:eastAsia="pl-PL"/>
        </w:rPr>
        <w:t xml:space="preserve"> to pole jego dopełnienia do trójkąta.</w:t>
      </w:r>
    </w:p>
    <w:p w:rsidR="00AE45D9" w:rsidRPr="005268D7" w:rsidRDefault="00AE45D9" w:rsidP="005268D7">
      <w:pPr>
        <w:spacing w:before="100" w:beforeAutospacing="1" w:after="100" w:afterAutospacing="1" w:line="240" w:lineRule="auto"/>
        <w:outlineLvl w:val="2"/>
        <w:rPr>
          <w:rFonts w:ascii="Times New Roman" w:hAnsi="Times New Roman"/>
          <w:b/>
          <w:bCs/>
          <w:sz w:val="27"/>
          <w:szCs w:val="27"/>
          <w:lang w:eastAsia="pl-PL"/>
        </w:rPr>
      </w:pPr>
      <w:r w:rsidRPr="005268D7">
        <w:rPr>
          <w:rFonts w:ascii="Times New Roman" w:hAnsi="Times New Roman"/>
          <w:b/>
          <w:bCs/>
          <w:sz w:val="27"/>
          <w:szCs w:val="27"/>
          <w:lang w:eastAsia="pl-PL"/>
        </w:rPr>
        <w:t>Właściwości</w:t>
      </w:r>
    </w:p>
    <w:p w:rsidR="00AE45D9" w:rsidRPr="005268D7" w:rsidRDefault="00AE45D9" w:rsidP="005268D7">
      <w:pPr>
        <w:numPr>
          <w:ilvl w:val="0"/>
          <w:numId w:val="12"/>
        </w:numPr>
        <w:spacing w:before="100" w:beforeAutospacing="1" w:after="100" w:afterAutospacing="1" w:line="240" w:lineRule="auto"/>
        <w:rPr>
          <w:rFonts w:ascii="Times New Roman" w:hAnsi="Times New Roman"/>
          <w:sz w:val="24"/>
          <w:szCs w:val="24"/>
          <w:lang w:eastAsia="pl-PL"/>
        </w:rPr>
      </w:pPr>
      <w:r w:rsidRPr="005268D7">
        <w:rPr>
          <w:rFonts w:ascii="Times New Roman" w:hAnsi="Times New Roman"/>
          <w:sz w:val="24"/>
          <w:szCs w:val="24"/>
          <w:lang w:eastAsia="pl-PL"/>
        </w:rPr>
        <w:t>współczynnik Giniego przyjmuje wartości z przedziału [0; 1], często jednak wyraża się go w procentach,</w:t>
      </w:r>
    </w:p>
    <w:p w:rsidR="00AE45D9" w:rsidRPr="005268D7" w:rsidRDefault="00AE45D9" w:rsidP="005268D7">
      <w:pPr>
        <w:numPr>
          <w:ilvl w:val="0"/>
          <w:numId w:val="12"/>
        </w:numPr>
        <w:spacing w:before="100" w:beforeAutospacing="1" w:after="100" w:afterAutospacing="1" w:line="240" w:lineRule="auto"/>
        <w:rPr>
          <w:rFonts w:ascii="Times New Roman" w:hAnsi="Times New Roman"/>
          <w:sz w:val="24"/>
          <w:szCs w:val="24"/>
          <w:lang w:eastAsia="pl-PL"/>
        </w:rPr>
      </w:pPr>
      <w:r w:rsidRPr="005268D7">
        <w:rPr>
          <w:rFonts w:ascii="Times New Roman" w:hAnsi="Times New Roman"/>
          <w:sz w:val="24"/>
          <w:szCs w:val="24"/>
          <w:lang w:eastAsia="pl-PL"/>
        </w:rPr>
        <w:t>wartość zerowa współczynnika wskazuje na pełną równomierność rozkładu,</w:t>
      </w:r>
    </w:p>
    <w:p w:rsidR="00AE45D9" w:rsidRPr="005268D7" w:rsidRDefault="00AE45D9" w:rsidP="005268D7">
      <w:pPr>
        <w:numPr>
          <w:ilvl w:val="0"/>
          <w:numId w:val="12"/>
        </w:numPr>
        <w:spacing w:before="100" w:beforeAutospacing="1" w:after="100" w:afterAutospacing="1" w:line="240" w:lineRule="auto"/>
        <w:rPr>
          <w:rFonts w:ascii="Times New Roman" w:hAnsi="Times New Roman"/>
          <w:sz w:val="24"/>
          <w:szCs w:val="24"/>
          <w:lang w:eastAsia="pl-PL"/>
        </w:rPr>
      </w:pPr>
      <w:r w:rsidRPr="005268D7">
        <w:rPr>
          <w:rFonts w:ascii="Times New Roman" w:hAnsi="Times New Roman"/>
          <w:sz w:val="24"/>
          <w:szCs w:val="24"/>
          <w:lang w:eastAsia="pl-PL"/>
        </w:rPr>
        <w:t>wzrost wartości współczynnika oznacza wzrost nierówności rozkładu,</w:t>
      </w:r>
    </w:p>
    <w:p w:rsidR="00AE45D9" w:rsidRPr="005268D7" w:rsidRDefault="00AE45D9" w:rsidP="005268D7">
      <w:pPr>
        <w:numPr>
          <w:ilvl w:val="0"/>
          <w:numId w:val="12"/>
        </w:numPr>
        <w:spacing w:before="100" w:beforeAutospacing="1" w:after="100" w:afterAutospacing="1" w:line="240" w:lineRule="auto"/>
        <w:rPr>
          <w:rFonts w:ascii="Times New Roman" w:hAnsi="Times New Roman"/>
          <w:sz w:val="24"/>
          <w:szCs w:val="24"/>
          <w:lang w:eastAsia="pl-PL"/>
        </w:rPr>
      </w:pPr>
      <w:r w:rsidRPr="005268D7">
        <w:rPr>
          <w:rFonts w:ascii="Times New Roman" w:hAnsi="Times New Roman"/>
          <w:sz w:val="24"/>
          <w:szCs w:val="24"/>
          <w:lang w:eastAsia="pl-PL"/>
        </w:rPr>
        <w:t>wartość 1 współczynnik Giniego przyjąłby w sytuacji gdyby tylko jedna obserwacja uzyskała dodatnią wartość zmiennej (np. tylko jedno gospodarstwo domowe posiadało dochody).</w:t>
      </w:r>
    </w:p>
    <w:p w:rsidR="00AE45D9" w:rsidRPr="005268D7" w:rsidRDefault="00AE45D9" w:rsidP="005268D7">
      <w:pPr>
        <w:spacing w:before="100" w:beforeAutospacing="1" w:after="100" w:afterAutospacing="1" w:line="240" w:lineRule="auto"/>
        <w:outlineLvl w:val="1"/>
        <w:rPr>
          <w:rFonts w:ascii="Times New Roman" w:hAnsi="Times New Roman"/>
          <w:b/>
          <w:bCs/>
          <w:sz w:val="36"/>
          <w:szCs w:val="36"/>
          <w:lang w:eastAsia="pl-PL"/>
        </w:rPr>
      </w:pPr>
      <w:r w:rsidRPr="005268D7">
        <w:rPr>
          <w:rFonts w:ascii="Times New Roman" w:hAnsi="Times New Roman"/>
          <w:b/>
          <w:bCs/>
          <w:sz w:val="36"/>
          <w:szCs w:val="36"/>
          <w:lang w:eastAsia="pl-PL"/>
        </w:rPr>
        <w:t xml:space="preserve">Zastosowanie w ekonometrii </w:t>
      </w:r>
      <w:r w:rsidRPr="005268D7">
        <w:rPr>
          <w:rFonts w:ascii="Times New Roman" w:hAnsi="Times New Roman"/>
          <w:sz w:val="20"/>
          <w:lang w:eastAsia="pl-PL"/>
        </w:rPr>
        <w:t>[</w:t>
      </w:r>
      <w:hyperlink r:id="rId16" w:tooltip="Edytuj sekcję: Zastosowanie w ekonometrii" w:history="1">
        <w:r w:rsidRPr="005268D7">
          <w:rPr>
            <w:rFonts w:ascii="Times New Roman" w:hAnsi="Times New Roman"/>
            <w:color w:val="0000FF"/>
            <w:sz w:val="20"/>
            <w:u w:val="single"/>
            <w:lang w:eastAsia="pl-PL"/>
          </w:rPr>
          <w:t>edytuj</w:t>
        </w:r>
      </w:hyperlink>
      <w:r w:rsidRPr="005268D7">
        <w:rPr>
          <w:rFonts w:ascii="Times New Roman" w:hAnsi="Times New Roman"/>
          <w:sz w:val="20"/>
          <w:lang w:eastAsia="pl-PL"/>
        </w:rPr>
        <w:t>]</w:t>
      </w:r>
    </w:p>
    <w:p w:rsidR="00AE45D9" w:rsidRPr="005268D7" w:rsidRDefault="00AE45D9" w:rsidP="005268D7">
      <w:pPr>
        <w:spacing w:after="0" w:line="240" w:lineRule="auto"/>
        <w:rPr>
          <w:rFonts w:ascii="Times New Roman" w:hAnsi="Times New Roman"/>
          <w:sz w:val="24"/>
          <w:szCs w:val="24"/>
          <w:lang w:eastAsia="pl-PL"/>
        </w:rPr>
      </w:pPr>
      <w:hyperlink r:id="rId17" w:history="1">
        <w:r w:rsidRPr="00EA0779">
          <w:rPr>
            <w:rFonts w:ascii="Times New Roman" w:hAnsi="Times New Roman"/>
            <w:noProof/>
            <w:color w:val="0000FF"/>
            <w:sz w:val="24"/>
            <w:szCs w:val="24"/>
            <w:lang w:eastAsia="pl-PL"/>
          </w:rPr>
          <w:pict>
            <v:shape id="Obraz 4" o:spid="_x0000_i1028" type="#_x0000_t75" alt="http://upload.wikimedia.org/wikipedia/commons/thumb/8/85/World_Map_Gini_coefficient.svg/400px-World_Map_Gini_coefficient.svg.png" href="http://pl.wikipedia.org/wiki/Plik:World_Map_Gini_coefficient.s" style="width:300pt;height:149.25pt;visibility:visible" o:button="t">
              <v:fill o:detectmouseclick="t"/>
              <v:imagedata r:id="rId18" o:title=""/>
            </v:shape>
          </w:pict>
        </w:r>
      </w:hyperlink>
    </w:p>
    <w:p w:rsidR="00AE45D9" w:rsidRPr="005268D7" w:rsidRDefault="00AE45D9" w:rsidP="005268D7">
      <w:pPr>
        <w:spacing w:after="0" w:line="240" w:lineRule="auto"/>
        <w:rPr>
          <w:rFonts w:ascii="Times New Roman" w:hAnsi="Times New Roman"/>
          <w:sz w:val="24"/>
          <w:szCs w:val="24"/>
          <w:lang w:eastAsia="pl-PL"/>
        </w:rPr>
      </w:pPr>
      <w:hyperlink r:id="rId19" w:tooltip="Powiększ" w:history="1">
        <w:r w:rsidRPr="00EA0779">
          <w:rPr>
            <w:rFonts w:ascii="Times New Roman" w:hAnsi="Times New Roman"/>
            <w:noProof/>
            <w:color w:val="0000FF"/>
            <w:sz w:val="24"/>
            <w:szCs w:val="24"/>
            <w:lang w:eastAsia="pl-PL"/>
          </w:rPr>
          <w:pict>
            <v:shape id="Obraz 5" o:spid="_x0000_i1029" type="#_x0000_t75" alt="http://bits.wikimedia.org/skins-1.5/common/images/magnify-clip.png" href="http://pl.wikipedia.org/wiki/Plik:World_Map_Gini_coefficient.s" title="Powiększ" style="width:11.25pt;height:8.25pt;visibility:visible" o:button="t">
              <v:fill o:detectmouseclick="t"/>
              <v:imagedata r:id="rId11" o:title=""/>
            </v:shape>
          </w:pict>
        </w:r>
      </w:hyperlink>
    </w:p>
    <w:p w:rsidR="00AE45D9" w:rsidRPr="005268D7" w:rsidRDefault="00AE45D9" w:rsidP="005268D7">
      <w:pPr>
        <w:spacing w:after="0" w:line="240" w:lineRule="auto"/>
        <w:rPr>
          <w:rFonts w:ascii="Times New Roman" w:hAnsi="Times New Roman"/>
          <w:sz w:val="24"/>
          <w:szCs w:val="24"/>
          <w:lang w:eastAsia="pl-PL"/>
        </w:rPr>
      </w:pPr>
      <w:r w:rsidRPr="005268D7">
        <w:rPr>
          <w:rFonts w:ascii="Times New Roman" w:hAnsi="Times New Roman"/>
          <w:sz w:val="24"/>
          <w:szCs w:val="24"/>
          <w:lang w:eastAsia="pl-PL"/>
        </w:rPr>
        <w:t>Mapa świata. Czerwonym kolorem oznaczono kraje o najwyższym wskaźniku, zielonym te o najniższym.</w:t>
      </w:r>
    </w:p>
    <w:p w:rsidR="00AE45D9" w:rsidRPr="005268D7" w:rsidRDefault="00AE45D9" w:rsidP="005268D7">
      <w:pPr>
        <w:spacing w:before="100" w:beforeAutospacing="1" w:after="100" w:afterAutospacing="1" w:line="240" w:lineRule="auto"/>
        <w:rPr>
          <w:rFonts w:ascii="Times New Roman" w:hAnsi="Times New Roman"/>
          <w:sz w:val="24"/>
          <w:szCs w:val="24"/>
          <w:lang w:eastAsia="pl-PL"/>
        </w:rPr>
      </w:pPr>
      <w:r w:rsidRPr="005268D7">
        <w:rPr>
          <w:rFonts w:ascii="Times New Roman" w:hAnsi="Times New Roman"/>
          <w:sz w:val="24"/>
          <w:szCs w:val="24"/>
          <w:lang w:eastAsia="pl-PL"/>
        </w:rPr>
        <w:t xml:space="preserve">W ekonometrii indeks Giniego nosi też nazwę </w:t>
      </w:r>
      <w:r w:rsidRPr="005268D7">
        <w:rPr>
          <w:rFonts w:ascii="Times New Roman" w:hAnsi="Times New Roman"/>
          <w:b/>
          <w:bCs/>
          <w:sz w:val="24"/>
          <w:szCs w:val="24"/>
          <w:lang w:eastAsia="pl-PL"/>
        </w:rPr>
        <w:t>Wskaźnik Nierówności Społecznej</w:t>
      </w:r>
      <w:r w:rsidRPr="005268D7">
        <w:rPr>
          <w:rFonts w:ascii="Times New Roman" w:hAnsi="Times New Roman"/>
          <w:sz w:val="24"/>
          <w:szCs w:val="24"/>
          <w:lang w:eastAsia="pl-PL"/>
        </w:rPr>
        <w:t xml:space="preserve">. Indeks Giniego stosowany jest często w ekonometrii do liczbowego wyrażania nierównomiernego rozkładu dóbr, w szczególności nierównomiernego rozkładu </w:t>
      </w:r>
      <w:hyperlink r:id="rId20" w:tooltip="Dochód" w:history="1">
        <w:r w:rsidRPr="005268D7">
          <w:rPr>
            <w:rFonts w:ascii="Times New Roman" w:hAnsi="Times New Roman"/>
            <w:color w:val="0000FF"/>
            <w:sz w:val="24"/>
            <w:szCs w:val="24"/>
            <w:u w:val="single"/>
            <w:lang w:eastAsia="pl-PL"/>
          </w:rPr>
          <w:t>dochodu</w:t>
        </w:r>
      </w:hyperlink>
      <w:r w:rsidRPr="005268D7">
        <w:rPr>
          <w:rFonts w:ascii="Times New Roman" w:hAnsi="Times New Roman"/>
          <w:sz w:val="24"/>
          <w:szCs w:val="24"/>
          <w:lang w:eastAsia="pl-PL"/>
        </w:rPr>
        <w:t xml:space="preserve"> np. </w:t>
      </w:r>
      <w:hyperlink r:id="rId21" w:tooltip="Gospodarstwo domowe" w:history="1">
        <w:r w:rsidRPr="005268D7">
          <w:rPr>
            <w:rFonts w:ascii="Times New Roman" w:hAnsi="Times New Roman"/>
            <w:color w:val="0000FF"/>
            <w:sz w:val="24"/>
            <w:szCs w:val="24"/>
            <w:u w:val="single"/>
            <w:lang w:eastAsia="pl-PL"/>
          </w:rPr>
          <w:t>gospodarstw domowych</w:t>
        </w:r>
      </w:hyperlink>
      <w:r w:rsidRPr="005268D7">
        <w:rPr>
          <w:rFonts w:ascii="Times New Roman" w:hAnsi="Times New Roman"/>
          <w:sz w:val="24"/>
          <w:szCs w:val="24"/>
          <w:lang w:eastAsia="pl-PL"/>
        </w:rPr>
        <w:t>.</w:t>
      </w:r>
    </w:p>
    <w:p w:rsidR="00AE45D9" w:rsidRPr="005268D7" w:rsidRDefault="00AE45D9" w:rsidP="005268D7">
      <w:pPr>
        <w:spacing w:before="100" w:beforeAutospacing="1" w:after="100" w:afterAutospacing="1" w:line="240" w:lineRule="auto"/>
        <w:rPr>
          <w:rFonts w:ascii="Times New Roman" w:hAnsi="Times New Roman"/>
          <w:sz w:val="24"/>
          <w:szCs w:val="24"/>
          <w:lang w:eastAsia="pl-PL"/>
        </w:rPr>
      </w:pPr>
      <w:r w:rsidRPr="005268D7">
        <w:rPr>
          <w:rFonts w:ascii="Times New Roman" w:hAnsi="Times New Roman"/>
          <w:sz w:val="24"/>
          <w:szCs w:val="24"/>
          <w:lang w:eastAsia="pl-PL"/>
        </w:rPr>
        <w:t>Rozkład dochodów w społeczeństwach jest bardzo zróżnicowany, a przyczyny jego występowania bardzo złożone. Wysokość dochodów zależy bowiem od poziomu wykształcenia, wykonywanego zawodu, intensywności pracy, miejsca zamieszkania, wielkości rodziny, predyspozycji fizycznych i umysłowych.</w:t>
      </w:r>
    </w:p>
    <w:p w:rsidR="00AE45D9" w:rsidRPr="005268D7" w:rsidRDefault="00AE45D9" w:rsidP="005268D7">
      <w:pPr>
        <w:spacing w:after="0" w:line="240" w:lineRule="auto"/>
        <w:rPr>
          <w:rFonts w:ascii="Times New Roman" w:hAnsi="Times New Roman"/>
          <w:sz w:val="24"/>
          <w:szCs w:val="24"/>
          <w:lang w:eastAsia="pl-PL"/>
        </w:rPr>
      </w:pPr>
      <w:hyperlink r:id="rId22" w:history="1">
        <w:r w:rsidRPr="00EA0779">
          <w:rPr>
            <w:rFonts w:ascii="Times New Roman" w:hAnsi="Times New Roman"/>
            <w:noProof/>
            <w:color w:val="0000FF"/>
            <w:sz w:val="24"/>
            <w:szCs w:val="24"/>
            <w:lang w:eastAsia="pl-PL"/>
          </w:rPr>
          <w:pict>
            <v:shape id="Obraz 6" o:spid="_x0000_i1030" type="#_x0000_t75" alt="Gini-koval.gif" href="http://pl.wikipedia.org/wiki/Plik:Gini-koval.g" style="width:300pt;height:332.25pt;visibility:visible" o:button="t">
              <v:fill o:detectmouseclick="t"/>
              <v:imagedata r:id="rId23" o:title=""/>
            </v:shape>
          </w:pict>
        </w:r>
      </w:hyperlink>
    </w:p>
    <w:p w:rsidR="00AE45D9" w:rsidRPr="005268D7" w:rsidRDefault="00AE45D9" w:rsidP="005268D7">
      <w:pPr>
        <w:spacing w:after="0" w:line="240" w:lineRule="auto"/>
        <w:rPr>
          <w:rFonts w:ascii="Times New Roman" w:hAnsi="Times New Roman"/>
          <w:sz w:val="24"/>
          <w:szCs w:val="24"/>
          <w:lang w:eastAsia="pl-PL"/>
        </w:rPr>
      </w:pPr>
      <w:hyperlink r:id="rId24" w:tooltip="Powiększ" w:history="1">
        <w:r w:rsidRPr="00EA0779">
          <w:rPr>
            <w:rFonts w:ascii="Times New Roman" w:hAnsi="Times New Roman"/>
            <w:noProof/>
            <w:color w:val="0000FF"/>
            <w:sz w:val="24"/>
            <w:szCs w:val="24"/>
            <w:lang w:eastAsia="pl-PL"/>
          </w:rPr>
          <w:pict>
            <v:shape id="Obraz 7" o:spid="_x0000_i1031" type="#_x0000_t75" alt="http://bits.wikimedia.org/skins-1.5/common/images/magnify-clip.png" href="http://pl.wikipedia.org/wiki/Plik:Gini-koval.g" title="Powiększ" style="width:11.25pt;height:8.25pt;visibility:visible" o:button="t">
              <v:fill o:detectmouseclick="t"/>
              <v:imagedata r:id="rId11" o:title=""/>
            </v:shape>
          </w:pict>
        </w:r>
      </w:hyperlink>
    </w:p>
    <w:p w:rsidR="00AE45D9" w:rsidRPr="005268D7" w:rsidRDefault="00AE45D9" w:rsidP="005268D7">
      <w:pPr>
        <w:spacing w:before="100" w:beforeAutospacing="1" w:after="100" w:afterAutospacing="1" w:line="240" w:lineRule="auto"/>
        <w:rPr>
          <w:rFonts w:ascii="Times New Roman" w:hAnsi="Times New Roman"/>
          <w:sz w:val="24"/>
          <w:szCs w:val="24"/>
          <w:lang w:eastAsia="pl-PL"/>
        </w:rPr>
      </w:pPr>
      <w:r w:rsidRPr="005268D7">
        <w:rPr>
          <w:rFonts w:ascii="Times New Roman" w:hAnsi="Times New Roman"/>
          <w:sz w:val="24"/>
          <w:szCs w:val="24"/>
          <w:lang w:eastAsia="pl-PL"/>
        </w:rPr>
        <w:t>Współczynnik Giniego należy interpretować w ten sposób, że im jest wyższy tym nierówności w dochodach w danym kraju są większe.</w:t>
      </w:r>
    </w:p>
    <w:p w:rsidR="00AE45D9" w:rsidRPr="005268D7" w:rsidRDefault="00AE45D9" w:rsidP="005268D7">
      <w:pPr>
        <w:spacing w:before="100" w:beforeAutospacing="1" w:after="100" w:afterAutospacing="1" w:line="240" w:lineRule="auto"/>
        <w:rPr>
          <w:rFonts w:ascii="Times New Roman" w:hAnsi="Times New Roman"/>
          <w:sz w:val="24"/>
          <w:szCs w:val="24"/>
          <w:lang w:eastAsia="pl-PL"/>
        </w:rPr>
      </w:pPr>
      <w:r w:rsidRPr="005268D7">
        <w:rPr>
          <w:rFonts w:ascii="Times New Roman" w:hAnsi="Times New Roman"/>
          <w:sz w:val="24"/>
          <w:szCs w:val="24"/>
          <w:lang w:eastAsia="pl-PL"/>
        </w:rPr>
        <w:t xml:space="preserve">Wskaźnik Giniego, oparty na krzywej Lorenza, pokazuje nierówności w </w:t>
      </w:r>
      <w:hyperlink r:id="rId25" w:tooltip="Dochód" w:history="1">
        <w:r w:rsidRPr="005268D7">
          <w:rPr>
            <w:rFonts w:ascii="Times New Roman" w:hAnsi="Times New Roman"/>
            <w:color w:val="0000FF"/>
            <w:sz w:val="24"/>
            <w:szCs w:val="24"/>
            <w:u w:val="single"/>
            <w:lang w:eastAsia="pl-PL"/>
          </w:rPr>
          <w:t>dochodach</w:t>
        </w:r>
      </w:hyperlink>
      <w:r w:rsidRPr="005268D7">
        <w:rPr>
          <w:rFonts w:ascii="Times New Roman" w:hAnsi="Times New Roman"/>
          <w:sz w:val="24"/>
          <w:szCs w:val="24"/>
          <w:lang w:eastAsia="pl-PL"/>
        </w:rPr>
        <w:t xml:space="preserve"> danego społeczeństwa. W Stanach wynosił on w 2005 roku 0,41. W Polsce w 2005 roku ten wskaźnik kształtował się na poziomie 0,31-0,33 i systematycznie wzrasta, a więc i koncentracja kapitału oraz zróżnicowanie dochodów w Polsce rosną.</w:t>
      </w:r>
    </w:p>
    <w:p w:rsidR="00AE45D9" w:rsidRDefault="00AE45D9" w:rsidP="005268D7">
      <w:pPr>
        <w:pStyle w:val="NormalWeb"/>
      </w:pPr>
    </w:p>
    <w:p w:rsidR="00AE45D9" w:rsidRDefault="00AE45D9" w:rsidP="005268D7">
      <w:pPr>
        <w:pStyle w:val="NormalWeb"/>
        <w:numPr>
          <w:ilvl w:val="0"/>
          <w:numId w:val="11"/>
        </w:numPr>
      </w:pPr>
      <w:r>
        <w:t xml:space="preserve">Kwestie społeczne - definicje, cechy i wymiary </w:t>
      </w:r>
      <w:r>
        <w:br/>
        <w:t>niesprawność, asymetria, dysfunkcja, sprzeczność</w:t>
      </w:r>
      <w:r>
        <w:br/>
        <w:t>Kwestia społeczna- efekt asymetrycznych przekształceń rozwoju gospodarki, które powodują zagrożenia społeczne</w:t>
      </w:r>
      <w:r>
        <w:br/>
        <w:t>- problem o wysokim stopniu dotkliwości, generujący krytyczne sytuacje w życiu jednostek i zbiorowości i implikujące trwałe zakłócenia w funkcjonowaniu społeczeństwa</w:t>
      </w:r>
      <w:r>
        <w:br/>
        <w:t>np. alkoholizm, migracje, przestępczość, samobójstwa, niepełnosprawność, bezdomność, problemy demograficzne.</w:t>
      </w:r>
      <w:r>
        <w:br/>
      </w:r>
      <w:r>
        <w:br/>
      </w:r>
      <w:r w:rsidRPr="00E30211">
        <w:t xml:space="preserve">każdą istotną dla organizacji życia publicznego </w:t>
      </w:r>
      <w:hyperlink r:id="rId26" w:tooltip="Kwestia społeczna (strona nie istnieje)" w:history="1">
        <w:r w:rsidRPr="00E30211">
          <w:rPr>
            <w:rStyle w:val="Hyperlink"/>
            <w:color w:val="auto"/>
            <w:u w:val="none"/>
          </w:rPr>
          <w:t>kwestią społeczną</w:t>
        </w:r>
      </w:hyperlink>
      <w:r w:rsidRPr="00E30211">
        <w:t xml:space="preserve">, tj. każdym zjawiskiem, które na masową skale stanowi o braku komfortu życia społecznego i może okazać się dotkliwe dla potencjału osobowego społeczeństwa. Brak zapobiegania narastającym problemom społecznym może prowadzić do upośledzenia poszczególnych środowisk i kategorii ludności (np. </w:t>
      </w:r>
      <w:hyperlink r:id="rId27" w:tooltip="Marginalizacja" w:history="1">
        <w:r w:rsidRPr="00E30211">
          <w:rPr>
            <w:rStyle w:val="Hyperlink"/>
            <w:color w:val="auto"/>
            <w:u w:val="none"/>
          </w:rPr>
          <w:t>marginalizacji</w:t>
        </w:r>
      </w:hyperlink>
      <w:r w:rsidRPr="00E30211">
        <w:t xml:space="preserve">) oraz </w:t>
      </w:r>
      <w:hyperlink r:id="rId28" w:tooltip="Konflikt społeczny" w:history="1">
        <w:r w:rsidRPr="00E30211">
          <w:rPr>
            <w:rStyle w:val="Hyperlink"/>
            <w:color w:val="auto"/>
            <w:u w:val="none"/>
          </w:rPr>
          <w:t>konfliktami</w:t>
        </w:r>
      </w:hyperlink>
      <w:r w:rsidRPr="00E30211">
        <w:t xml:space="preserve"> zakłócającymi funkcjonowanie społeczeństwa.</w:t>
      </w:r>
      <w:r w:rsidRPr="00E30211">
        <w:br/>
      </w:r>
      <w:r>
        <w:rPr>
          <w:color w:val="FF0000"/>
        </w:rPr>
        <w:br/>
        <w:t>cechy i wymiary?</w:t>
      </w:r>
    </w:p>
    <w:p w:rsidR="00AE45D9" w:rsidRDefault="00AE45D9" w:rsidP="008811A1">
      <w:pPr>
        <w:pStyle w:val="NormalWeb"/>
        <w:numPr>
          <w:ilvl w:val="0"/>
          <w:numId w:val="11"/>
        </w:numPr>
      </w:pPr>
      <w:r>
        <w:t>Możliwości zapewnienia usług edukacyjnych</w:t>
      </w:r>
      <w:r>
        <w:rPr>
          <w:color w:val="FF0000"/>
        </w:rPr>
        <w:t>?</w:t>
      </w:r>
      <w:r>
        <w:rPr>
          <w:color w:val="FF0000"/>
        </w:rPr>
        <w:br/>
      </w:r>
      <w:r>
        <w:t>Sposoby zaopatrzenia rynku w edukację:</w:t>
      </w:r>
    </w:p>
    <w:p w:rsidR="00AE45D9" w:rsidRDefault="00AE45D9" w:rsidP="008811A1">
      <w:pPr>
        <w:pStyle w:val="NormalWeb"/>
        <w:ind w:left="1080"/>
      </w:pPr>
      <w:r>
        <w:t>*rynkowe-nie zapewniają sprawiedliwości społecznej, nie do przyjęcia także z efektywnego punktu widzenia- musiałaby być regulowana</w:t>
      </w:r>
      <w:r>
        <w:br/>
        <w:t>*państwowo-prywatne- potrzebne regulacje do. Min wyposażenia, wykwalifikowania kadr, min programowe; potrzebna kontrola i egzekucje; funkcje kontrolne spełnia nowa matura(idea jest dobra) i Państwowa Komisja Akredytacyjna w stosunku do uczelni wyższych, jest też Państwowa Komisja Edukacji Narodowej</w:t>
      </w:r>
      <w:r>
        <w:br/>
        <w:t>*państwowe</w:t>
      </w:r>
    </w:p>
    <w:p w:rsidR="00AE45D9" w:rsidRPr="008811A1" w:rsidRDefault="00AE45D9" w:rsidP="008811A1">
      <w:pPr>
        <w:pStyle w:val="NormalWeb"/>
        <w:numPr>
          <w:ilvl w:val="0"/>
          <w:numId w:val="11"/>
        </w:numPr>
      </w:pPr>
      <w:r>
        <w:t>Regulacyjne instrumenty polityki społecznej</w:t>
      </w:r>
      <w:r w:rsidRPr="008811A1">
        <w:rPr>
          <w:color w:val="FF0000"/>
        </w:rPr>
        <w:t>?</w:t>
      </w:r>
      <w:r w:rsidRPr="008811A1">
        <w:rPr>
          <w:color w:val="FF0000"/>
        </w:rPr>
        <w:br/>
      </w:r>
      <w:r w:rsidRPr="008811A1">
        <w:rPr>
          <w:szCs w:val="24"/>
          <w:lang w:eastAsia="pl-PL"/>
        </w:rPr>
        <w:t xml:space="preserve">Instrumenty ekonomiczne </w:t>
      </w:r>
    </w:p>
    <w:p w:rsidR="00AE45D9" w:rsidRPr="008811A1" w:rsidRDefault="00AE45D9" w:rsidP="008811A1">
      <w:pPr>
        <w:spacing w:after="0" w:line="240" w:lineRule="auto"/>
        <w:ind w:left="360"/>
        <w:jc w:val="both"/>
        <w:rPr>
          <w:rFonts w:ascii="Times New Roman" w:hAnsi="Times New Roman"/>
          <w:sz w:val="24"/>
          <w:szCs w:val="24"/>
          <w:lang w:eastAsia="pl-PL"/>
        </w:rPr>
      </w:pPr>
      <w:r w:rsidRPr="008811A1">
        <w:rPr>
          <w:rFonts w:ascii="Times New Roman" w:hAnsi="Times New Roman"/>
          <w:sz w:val="24"/>
          <w:szCs w:val="24"/>
          <w:lang w:eastAsia="pl-PL"/>
        </w:rPr>
        <w:t xml:space="preserve">– kształtowanie skali i warunków dostępu obywateli do własności majątku konsumpcyjnego lub produkcyjnego, </w:t>
      </w:r>
    </w:p>
    <w:p w:rsidR="00AE45D9" w:rsidRPr="008811A1" w:rsidRDefault="00AE45D9" w:rsidP="008811A1">
      <w:pPr>
        <w:spacing w:after="0" w:line="240" w:lineRule="auto"/>
        <w:ind w:left="360"/>
        <w:jc w:val="both"/>
        <w:rPr>
          <w:rFonts w:ascii="Times New Roman" w:hAnsi="Times New Roman"/>
          <w:sz w:val="24"/>
          <w:szCs w:val="24"/>
          <w:lang w:eastAsia="pl-PL"/>
        </w:rPr>
      </w:pPr>
      <w:r w:rsidRPr="008811A1">
        <w:rPr>
          <w:rFonts w:ascii="Times New Roman" w:hAnsi="Times New Roman"/>
          <w:sz w:val="24"/>
          <w:szCs w:val="24"/>
          <w:lang w:eastAsia="pl-PL"/>
        </w:rPr>
        <w:t xml:space="preserve">- określenie praw właścicieli tych zasobów, </w:t>
      </w:r>
    </w:p>
    <w:p w:rsidR="00AE45D9" w:rsidRPr="008811A1" w:rsidRDefault="00AE45D9" w:rsidP="008811A1">
      <w:pPr>
        <w:spacing w:after="0" w:line="240" w:lineRule="auto"/>
        <w:ind w:left="360"/>
        <w:jc w:val="both"/>
        <w:rPr>
          <w:rFonts w:ascii="Times New Roman" w:hAnsi="Times New Roman"/>
          <w:sz w:val="24"/>
          <w:szCs w:val="24"/>
          <w:lang w:eastAsia="pl-PL"/>
        </w:rPr>
      </w:pPr>
      <w:r w:rsidRPr="008811A1">
        <w:rPr>
          <w:rFonts w:ascii="Times New Roman" w:hAnsi="Times New Roman"/>
          <w:sz w:val="24"/>
          <w:szCs w:val="24"/>
          <w:lang w:eastAsia="pl-PL"/>
        </w:rPr>
        <w:t>- kształtowanie dostępu do dóbr konsumpcyjnych poprzez regulowanie dostępu do pracy zarobkowej, zasad wynagradzania za pracę, uprawnień do świadczeń społecznych, uprawnień konsumentów.</w:t>
      </w:r>
    </w:p>
    <w:p w:rsidR="00AE45D9" w:rsidRPr="008811A1" w:rsidRDefault="00AE45D9" w:rsidP="008811A1">
      <w:pPr>
        <w:spacing w:after="0" w:line="240" w:lineRule="auto"/>
        <w:ind w:left="360"/>
        <w:jc w:val="both"/>
        <w:rPr>
          <w:rFonts w:ascii="Times New Roman" w:hAnsi="Times New Roman"/>
          <w:sz w:val="24"/>
          <w:szCs w:val="24"/>
          <w:lang w:eastAsia="pl-PL"/>
        </w:rPr>
      </w:pPr>
      <w:r w:rsidRPr="008811A1">
        <w:rPr>
          <w:rFonts w:ascii="Times New Roman" w:hAnsi="Times New Roman"/>
          <w:sz w:val="24"/>
          <w:szCs w:val="24"/>
          <w:lang w:eastAsia="pl-PL"/>
        </w:rPr>
        <w:t>2. Instrumenty prawne</w:t>
      </w:r>
    </w:p>
    <w:p w:rsidR="00AE45D9" w:rsidRPr="008811A1" w:rsidRDefault="00AE45D9" w:rsidP="008811A1">
      <w:pPr>
        <w:spacing w:after="0" w:line="240" w:lineRule="auto"/>
        <w:ind w:left="360"/>
        <w:jc w:val="both"/>
        <w:rPr>
          <w:rFonts w:ascii="Times New Roman" w:hAnsi="Times New Roman"/>
          <w:sz w:val="24"/>
          <w:szCs w:val="24"/>
          <w:lang w:eastAsia="pl-PL"/>
        </w:rPr>
      </w:pPr>
      <w:r w:rsidRPr="008811A1">
        <w:rPr>
          <w:rFonts w:ascii="Times New Roman" w:hAnsi="Times New Roman"/>
          <w:sz w:val="24"/>
          <w:szCs w:val="24"/>
          <w:lang w:eastAsia="pl-PL"/>
        </w:rPr>
        <w:t>- zapisane w Konstytucji i aktach prawnych niższego rzędu,</w:t>
      </w:r>
    </w:p>
    <w:p w:rsidR="00AE45D9" w:rsidRPr="008811A1" w:rsidRDefault="00AE45D9" w:rsidP="008811A1">
      <w:pPr>
        <w:spacing w:after="0" w:line="240" w:lineRule="auto"/>
        <w:ind w:left="360"/>
        <w:jc w:val="both"/>
        <w:rPr>
          <w:rFonts w:ascii="Times New Roman" w:hAnsi="Times New Roman"/>
          <w:sz w:val="24"/>
          <w:szCs w:val="24"/>
          <w:lang w:eastAsia="pl-PL"/>
        </w:rPr>
      </w:pPr>
      <w:r w:rsidRPr="008811A1">
        <w:rPr>
          <w:rFonts w:ascii="Times New Roman" w:hAnsi="Times New Roman"/>
          <w:sz w:val="24"/>
          <w:szCs w:val="24"/>
          <w:lang w:eastAsia="pl-PL"/>
        </w:rPr>
        <w:t>- szczegółowe regulacje prawne dotyczące zachowań ludzi (prawo pracy i prawo rodzinne)</w:t>
      </w:r>
    </w:p>
    <w:p w:rsidR="00AE45D9" w:rsidRPr="008811A1" w:rsidRDefault="00AE45D9" w:rsidP="008811A1">
      <w:pPr>
        <w:spacing w:after="0" w:line="240" w:lineRule="auto"/>
        <w:ind w:left="360"/>
        <w:jc w:val="both"/>
        <w:rPr>
          <w:rFonts w:ascii="Times New Roman" w:hAnsi="Times New Roman"/>
          <w:sz w:val="24"/>
          <w:szCs w:val="24"/>
          <w:lang w:eastAsia="pl-PL"/>
        </w:rPr>
      </w:pPr>
      <w:r w:rsidRPr="008811A1">
        <w:rPr>
          <w:rFonts w:ascii="Times New Roman" w:hAnsi="Times New Roman"/>
          <w:sz w:val="24"/>
          <w:szCs w:val="24"/>
          <w:lang w:eastAsia="pl-PL"/>
        </w:rPr>
        <w:t xml:space="preserve">3. Instrumenty informacyjne </w:t>
      </w:r>
    </w:p>
    <w:p w:rsidR="00AE45D9" w:rsidRPr="008811A1" w:rsidRDefault="00AE45D9" w:rsidP="008811A1">
      <w:pPr>
        <w:spacing w:after="0" w:line="240" w:lineRule="auto"/>
        <w:ind w:left="360"/>
        <w:jc w:val="both"/>
        <w:rPr>
          <w:rFonts w:ascii="Times New Roman" w:hAnsi="Times New Roman"/>
          <w:sz w:val="24"/>
          <w:szCs w:val="24"/>
          <w:lang w:eastAsia="pl-PL"/>
        </w:rPr>
      </w:pPr>
      <w:r w:rsidRPr="008811A1">
        <w:rPr>
          <w:rFonts w:ascii="Times New Roman" w:hAnsi="Times New Roman"/>
          <w:sz w:val="24"/>
          <w:szCs w:val="24"/>
          <w:lang w:eastAsia="pl-PL"/>
        </w:rPr>
        <w:t>- informacje przekazywane za pomocą systemu szkolnego,</w:t>
      </w:r>
    </w:p>
    <w:p w:rsidR="00AE45D9" w:rsidRPr="008811A1" w:rsidRDefault="00AE45D9" w:rsidP="008811A1">
      <w:pPr>
        <w:spacing w:after="0" w:line="240" w:lineRule="auto"/>
        <w:ind w:left="360"/>
        <w:jc w:val="both"/>
        <w:rPr>
          <w:rFonts w:ascii="Times New Roman" w:hAnsi="Times New Roman"/>
          <w:sz w:val="24"/>
          <w:szCs w:val="24"/>
          <w:lang w:eastAsia="pl-PL"/>
        </w:rPr>
      </w:pPr>
      <w:r w:rsidRPr="008811A1">
        <w:rPr>
          <w:rFonts w:ascii="Times New Roman" w:hAnsi="Times New Roman"/>
          <w:sz w:val="24"/>
          <w:szCs w:val="24"/>
          <w:lang w:eastAsia="pl-PL"/>
        </w:rPr>
        <w:t>- informacje publikowane,</w:t>
      </w:r>
    </w:p>
    <w:p w:rsidR="00AE45D9" w:rsidRPr="008811A1" w:rsidRDefault="00AE45D9" w:rsidP="008811A1">
      <w:pPr>
        <w:spacing w:after="0" w:line="240" w:lineRule="auto"/>
        <w:ind w:left="360"/>
        <w:jc w:val="both"/>
        <w:rPr>
          <w:rFonts w:ascii="Times New Roman" w:hAnsi="Times New Roman"/>
          <w:sz w:val="24"/>
          <w:szCs w:val="24"/>
          <w:lang w:eastAsia="pl-PL"/>
        </w:rPr>
      </w:pPr>
      <w:r w:rsidRPr="008811A1">
        <w:rPr>
          <w:rFonts w:ascii="Times New Roman" w:hAnsi="Times New Roman"/>
          <w:sz w:val="24"/>
          <w:szCs w:val="24"/>
          <w:lang w:eastAsia="pl-PL"/>
        </w:rPr>
        <w:t>- poradnictwo indywidualne.</w:t>
      </w:r>
    </w:p>
    <w:p w:rsidR="00AE45D9" w:rsidRPr="008811A1" w:rsidRDefault="00AE45D9" w:rsidP="008811A1">
      <w:pPr>
        <w:spacing w:after="0" w:line="240" w:lineRule="auto"/>
        <w:ind w:left="360"/>
        <w:jc w:val="both"/>
        <w:rPr>
          <w:rFonts w:ascii="Times New Roman" w:hAnsi="Times New Roman"/>
          <w:sz w:val="24"/>
          <w:szCs w:val="24"/>
          <w:lang w:eastAsia="pl-PL"/>
        </w:rPr>
      </w:pPr>
      <w:r w:rsidRPr="008811A1">
        <w:rPr>
          <w:rFonts w:ascii="Times New Roman" w:hAnsi="Times New Roman"/>
          <w:sz w:val="24"/>
          <w:szCs w:val="24"/>
          <w:lang w:eastAsia="pl-PL"/>
        </w:rPr>
        <w:t>4. Instrumenty kadrowe – ludzie, którzy świadczą usługi społeczne i decydują o przyznaniu dóbr ekonomicznych potrzebującym, którzy stanowią i stosują prawo.</w:t>
      </w:r>
    </w:p>
    <w:p w:rsidR="00AE45D9" w:rsidRPr="008811A1" w:rsidRDefault="00AE45D9" w:rsidP="008811A1">
      <w:pPr>
        <w:spacing w:after="0" w:line="240" w:lineRule="auto"/>
        <w:ind w:left="360"/>
        <w:jc w:val="both"/>
        <w:rPr>
          <w:rFonts w:ascii="Times New Roman" w:hAnsi="Times New Roman"/>
          <w:sz w:val="24"/>
          <w:szCs w:val="24"/>
          <w:lang w:eastAsia="pl-PL"/>
        </w:rPr>
      </w:pPr>
      <w:r w:rsidRPr="008811A1">
        <w:rPr>
          <w:rFonts w:ascii="Times New Roman" w:hAnsi="Times New Roman"/>
          <w:sz w:val="24"/>
          <w:szCs w:val="24"/>
          <w:lang w:eastAsia="pl-PL"/>
        </w:rPr>
        <w:t>5. Instrumenty kształtowania przestrzeni – obiekty, będące efektami procesów inwestycyjnych, służące zaspokajaniu ludzkich potrzeb (szkoły, szpitale, budynki mieszkalne).</w:t>
      </w:r>
    </w:p>
    <w:p w:rsidR="00AE45D9" w:rsidRDefault="00AE45D9" w:rsidP="008811A1">
      <w:pPr>
        <w:pStyle w:val="NormalWeb"/>
        <w:ind w:left="1080"/>
      </w:pPr>
    </w:p>
    <w:p w:rsidR="00AE45D9" w:rsidRDefault="00AE45D9" w:rsidP="005268D7">
      <w:pPr>
        <w:pStyle w:val="NormalWeb"/>
        <w:numPr>
          <w:ilvl w:val="0"/>
          <w:numId w:val="11"/>
        </w:numPr>
      </w:pPr>
      <w:r>
        <w:t xml:space="preserve">Dylematy pomiaru efektywności edukacji </w:t>
      </w:r>
      <w:r>
        <w:br/>
        <w:t>trudna efektywność do obliczenia bo problemy zarówno z nakładami jak i efektami. Nakłady to: Czy wiemy ile kosztuje edukacja? nakłady na mieszkanie, jedzenie, alternatywne wykorzystanie czasu (ale dopiero na studiach). Czym jest efekt? Kto inny jednak ponosi nakłady a kto inny korzysta(pracodawca, gospodarka, rodzina). Dobrym wykształceniem, wysokością dochodów osiąganych w przyszłości dzięki studiom (ale czy na pewno związek przyczynowo-skutkowy między dochodami a wykształceniem?). Problem ze zmierzeniem efektywności, zatem problem ze zwiększeniem nakładów na edukację, bo nie wiadomo czy to coś pomaga. Poza tym- gdzie jest wyższa efektywność: w podstawówce czy na studiach? Jakie są korzyści z edukacji? Ile dzieci powinny przebywać w szkole? Czy tyle ile rodzice-10 godzin? To kruszyłyby się więzi rodzinne.</w:t>
      </w:r>
      <w:r>
        <w:br/>
        <w:t xml:space="preserve"> </w:t>
      </w:r>
      <w:r>
        <w:br/>
        <w:t xml:space="preserve">Edukacja nie jest efektywna w sensie Pareto, gdyż nie są spełnione warunki doskonałej konkurencji oraz kompletności rynków: mimo własnego doświadczenia w systemie edukacji można popełnić błąd przy wyborze studiów (mamy pewne wyobrażenie, które weryfikuje rzeczywistość); informacje o cenach i jakości można znaleźć w Internecie; informacje o przyszłości- wiemy ile lat dziecko na pewno będzie chodziło do szkoły; problem z wolną konkurencją bo istnieje monopol szkół podstawowych; istnieją bariery wejścia i wyjścia; poza tym szkoły są instytucjami non-profit-&gt; jak można więc zwiększyć zysk? Minimalizacją kosztów/mniejszą ilością programów/kadrą/wyposażeniem? </w:t>
      </w:r>
    </w:p>
    <w:p w:rsidR="00AE45D9" w:rsidRDefault="00AE45D9" w:rsidP="005268D7">
      <w:pPr>
        <w:pStyle w:val="NormalWeb"/>
        <w:numPr>
          <w:ilvl w:val="0"/>
          <w:numId w:val="11"/>
        </w:numPr>
      </w:pPr>
      <w:r>
        <w:t>syntetyczne mierniki nierówności</w:t>
      </w:r>
      <w:r>
        <w:rPr>
          <w:color w:val="FF0000"/>
        </w:rPr>
        <w:t>?co do odcylenia standardowego jeszcze można napisać?</w:t>
      </w:r>
      <w:r>
        <w:br/>
        <w:t xml:space="preserve">Zaliczmy do nich </w:t>
      </w:r>
      <w:r>
        <w:br/>
        <w:t>*odchylenie standardowe- wyrażamy w liczbach takich jak cecha której dotyczy S=</w:t>
      </w:r>
      <w:r w:rsidRPr="00EA0779">
        <w:fldChar w:fldCharType="begin"/>
      </w:r>
      <w:r w:rsidRPr="00EA0779">
        <w:instrText xml:space="preserve"> QUOTE </w:instrText>
      </w:r>
      <w:r w:rsidRPr="00EA0779">
        <w:pict>
          <v:shape id="_x0000_i1032" type="#_x0000_t75" style="width:126.75pt;height:59.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27674&quot;/&gt;&lt;wsp:rsid wsp:val=&quot;0007736E&quot;/&gt;&lt;wsp:rsid wsp:val=&quot;000D16C3&quot;/&gt;&lt;wsp:rsid wsp:val=&quot;000E3802&quot;/&gt;&lt;wsp:rsid wsp:val=&quot;00123924&quot;/&gt;&lt;wsp:rsid wsp:val=&quot;001D7AF8&quot;/&gt;&lt;wsp:rsid wsp:val=&quot;00367D15&quot;/&gt;&lt;wsp:rsid wsp:val=&quot;00420104&quot;/&gt;&lt;wsp:rsid wsp:val=&quot;0045512E&quot;/&gt;&lt;wsp:rsid wsp:val=&quot;00471BFB&quot;/&gt;&lt;wsp:rsid wsp:val=&quot;005268D7&quot;/&gt;&lt;wsp:rsid wsp:val=&quot;00527674&quot;/&gt;&lt;wsp:rsid wsp:val=&quot;00552625&quot;/&gt;&lt;wsp:rsid wsp:val=&quot;0058010F&quot;/&gt;&lt;wsp:rsid wsp:val=&quot;005B0A90&quot;/&gt;&lt;wsp:rsid wsp:val=&quot;005B54D2&quot;/&gt;&lt;wsp:rsid wsp:val=&quot;00632A20&quot;/&gt;&lt;wsp:rsid wsp:val=&quot;006771D9&quot;/&gt;&lt;wsp:rsid wsp:val=&quot;007D1B16&quot;/&gt;&lt;wsp:rsid wsp:val=&quot;008811A1&quot;/&gt;&lt;wsp:rsid wsp:val=&quot;00942C1A&quot;/&gt;&lt;wsp:rsid wsp:val=&quot;009526B1&quot;/&gt;&lt;wsp:rsid wsp:val=&quot;00A71AE5&quot;/&gt;&lt;wsp:rsid wsp:val=&quot;00AD261D&quot;/&gt;&lt;wsp:rsid wsp:val=&quot;00B370D3&quot;/&gt;&lt;wsp:rsid wsp:val=&quot;00BE6B20&quot;/&gt;&lt;wsp:rsid wsp:val=&quot;00CB53CC&quot;/&gt;&lt;wsp:rsid wsp:val=&quot;00CE6205&quot;/&gt;&lt;wsp:rsid wsp:val=&quot;00E30211&quot;/&gt;&lt;wsp:rsid wsp:val=&quot;00E577AC&quot;/&gt;&lt;wsp:rsid wsp:val=&quot;00EC045B&quot;/&gt;&lt;wsp:rsid wsp:val=&quot;00EC557E&quot;/&gt;&lt;/wsp:rsids&gt;&lt;/w:docPr&gt;&lt;w:body&gt;&lt;w:p wsp:rsidR=&quot;00000000&quot; wsp:rsidRDefault=&quot;0007736E&quot;&gt;&lt;m:oMathPara&gt;&lt;m:oMath&gt;&lt;m:acc&gt;&lt;m:accPr&gt;&lt;m:chr m:val=&quot;Ě…&quot;/&gt;&lt;m:ctrlPr&gt;&lt;w:rPr&gt;&lt;w:rFonts w:ascii=&quot;Cambria Math&quot; w:h-ansi=&quot;Cambria Math&quot;/&gt;&lt;wx:font wx:val=&quot;Cambria Math&quot;/&gt;&lt;w:i/&gt;&lt;w:sz w:val=&quot;32&quot;/&gt;&lt;w:sz-cs w:val=&quot;32&quot;/&gt;&lt;/w:rPr&gt;&lt;/m:ctrlPr&gt;&lt;/m:accPr&gt;&lt;m:e&gt;&lt;m:rad&gt;&lt;m:radPr&gt;&lt;m:degHide m:val=&quot;on&quot;/&gt;&lt;m:ctrlPr&gt;&lt;w:rPr&gt;&lt;w:rFonts w:ascii=&quot;Cambria Math&quot; w:h-ansi=&quot;Cambria Math&quot;/&gt;&lt;wx:font wx:val=&quot;Cambria Math&quot;/&gt;&lt;w:i/&gt;&lt;w:sz w:val=&quot;32&quot;/&gt;&lt;w:sz-cs w:val=&quot;32&quot;/&gt;&lt;/w:rPr&gt;&lt;/m:ctrlPr&gt;&lt;/m:radPr&gt;&lt;m:deg/&gt;&lt;m:e&gt;&lt;m:f&gt;&lt;m:fPr&gt;&lt;m:ctrlPr&gt;&lt;w:rPr&gt;&lt;w:rFonts w:ascii=&quot;Cambria Math&quot; w:h-ansi=&quot;Cambria Math&quot;/&gt;&lt;wx:font wx:val=&quot;Cambria Math&quot;/&gt;&lt;w:i/&gt;&lt;w:sz w:val=&quot;32&quot;/&gt;&lt;w:sz-cs w:val=&quot;32&quot;/&gt;&lt;/w:rPr&gt;&lt;/m:ctrlPr&gt;&lt;/m:fPr&gt;&lt;m:num&gt;&lt;m:r&gt;&lt;w:rPr&gt;&lt;w:rFonts w:ascii=&quot;Cambria Math&quot; w:h-ansi=&quot;Cambria Math&quot;/&gt;&lt;wx:font wx:val=&quot;Cambria Math&quot;/&gt;&lt;w:i/&gt;&lt;w:sz w:val=&quot;32&quot;/&gt;&lt;w:sz-cs w:val=&quot;32&quot;/&gt;&lt;/w:rPr&gt;&lt;m:t&gt;1&lt;/m:t&gt;&lt;/m:r&gt;&lt;/m:num&gt;&lt;m:den&gt;&lt;m:r&gt;&lt;w:rPr&gt;&lt;w:rFonts w:ascii=&quot;Cambria Math&quot; w:h-ansi=&quot;Cambria Math&quot;/&gt;&lt;wx:font wx:val=&quot;Cambria Math&quot;/&gt;&lt;w:i/&gt;&lt;w:sz w:val=&quot;32&quot;/&gt;&lt;w:sz-cs w:val=&quot;32&quot;/&gt;&lt;/w:rPr&gt;&lt;m:t&gt;n &lt;/m:t&gt;&lt;/m:r&gt;&lt;/m:den&gt;&lt;/m:f&gt;&lt;m:r&gt;&lt;w:rPr&gt;&lt;w:rFonts w:ascii=&quot;Cambria Math&quot; w:h-ansi=&quot;Cambria Math&quot;/&gt;&lt;wx:font wx:val=&quot;Cambria Math&quot;/&gt;&lt;w:i/&gt;&lt;w:sz w:val=&quot;32&quot;/&gt;&lt;w:sz-cs w:val=&quot;32&quot;/&gt;&lt;/w:rPr&gt;&lt;m:t&gt; &lt;/m:t&gt;&lt;/m:r&gt;&lt;m:nary&gt;&lt;m:naryPr&gt;&lt;m:chr m:val=&quot;â‘&quot;/&gt;&lt;m:limLoc m:val=&quot;undOvr&quot;/&gt;&lt;m:supHide m:val=&quot;on&quot;/&gt;&lt;m:ctrlPr&gt;&lt;w:rPr&gt;&lt;w:rFonts w:ascii=&quot;Cambria Math&quot; w:h-ansi=&quot;Cambria Math&quot;/&gt;&lt;wx:font wx:val=&quot;Cambria Math&quot;/&gt;&lt;w:i/&gt;&lt;w:sz w:val=&quot;32&quot;/&gt;&lt;w:sz-cs w:val=&quot;32&quot;/&gt;&lt;/w:rPr&gt;&lt;/m:ctrlPr&gt;&lt;/m:naryPr&gt;&lt;m:sub&gt;&lt;m:r&gt;&lt;w:rPr&gt;&lt;w:rFonts w:ascii=&quot;Cambria Math&quot; w:h-ansi=&quot;Cambria Math&quot;/&gt;&lt;wx:font wx:val=&quot;Cambria Math&quot;/&gt;&lt;w:i/&gt;&lt;w:sz w:val=&quot;32&quot;/&gt;&lt;w:sz-cs w:val=&quot;32&quot;/&gt;&lt;/w:rPr&gt;&lt;m:t&gt;i&lt;/m:t&gt;&lt;/m:r&gt;&lt;/m:sub&gt;&lt;m:sup/&gt;&lt;m:e&gt;&lt;m:r&gt;&lt;w:rPr&gt;&lt;w:rFonts w:ascii=&quot;Cambria Math&quot; w:h-ansi=&quot;Cambria Math&quot;/&gt;&lt;wx:font wx:val=&quot;Cambria Math&quot;/&gt;&lt;w:i/&gt;&lt;w:sz w:val=&quot;32&quot;/&gt;&lt;w:sz-cs w:val=&quot;32&quot;/&gt;&lt;/w:rPr&gt;&lt;m:t&gt;(&lt;/m:t&gt;&lt;/m:r&gt;&lt;m:sSub&gt;&lt;m:sSubPr&gt;&lt;m:ctrlPr&gt;&lt;w:rPr&gt;&lt;w:rFonts w:ascii=&quot;Cambria Math&quot; w:h-ansi=&quot;Cambria Math&quot;/&gt;&lt;wx:font wx:val=&quot;Cambria Math&quot;/&gt;&lt;w:i/&gt;&lt;w:sz w:val=&quot;32&quot;/&gt;&lt;w:sz-cs w:val=&quot;32&quot;/&gt;&lt;/w:rPr&gt;&lt;/m:ctrlPr&gt;&lt;/m:sSubPr&gt;&lt;m:e&gt;&lt;m:r&gt;&lt;w:rPr&gt;&lt;w:rFonts w:ascii=&quot;Cambria Math&quot; w:h-ansi=&quot;Cambria Math&quot;/&gt;&lt;wx:font wx:val=&quot;Cambria Math&quot;/&gt;&lt;w:i/&gt;&lt;w:sz w:val=&quot;32&quot;/&gt;&lt;w:sz-cs w:val=&quot;32&quot;/&gt;&lt;/w:rPr&gt;&lt;m:t&gt;y&lt;/m:t&gt;&lt;/m:r&gt;&lt;/m:e&gt;&lt;m:sub&gt;&lt;m:r&gt;&lt;w:rPr&gt;&lt;w:rFonts w:ascii=&quot;Cambria Math&quot; w:h-ansi=&quot;Cambria Math&quot;/&gt;&lt;wx:font wx:val=&quot;Cambria Math&quot;/&gt;&lt;w:i/&gt;&lt;w:sz w:val=&quot;32&quot;/&gt;&lt;w:sz-cs w:val=&quot;32&quot;/&gt;&lt;/w:rPr&gt;&lt;m:t&gt;i&lt;/m:t&gt;&lt;/m:r&gt;&lt;/m:sub&gt;&lt;/m:sSub&gt;&lt;m:r&gt;&lt;w:rPr&gt;&lt;w:rFonts w:ascii=&quot;Cambria Math&quot; w:h-ansi=&quot;Cambria Math&quot;/&gt;&lt;wx:font wx:val=&quot;Cambria Math&quot;/&gt;&lt;w:i/&gt;&lt;w:sz w:val=&quot;32&quot;/&gt;&lt;w:sz-cs w:val=&quot;32&quot;/&gt;&lt;/w:rPr&gt;&lt;m:t&gt;-&lt;/m:t&gt;&lt;/m:r&gt;&lt;/m:e&gt;&lt;/m:nary&gt;&lt;/m:e&gt;&lt;/m:rad&gt;&lt;m:acc&gt;&lt;m:accPr&gt;&lt;m:chr m:val=&quot;Ě…&quot;/&gt;&lt;m:ctrlPr&gt;&lt;w:rPr&gt;&lt;w:rFonts w:ascii=&quot;Cambria Math&quot; w:h-ansi=&quot;Cambria Math&quot;/&gt;&lt;wx:font wx:val=&quot;Cambria Math&quot;/&gt;&lt;w:i/&gt;&lt;w:sz w:val=&quot;32&quot;/&gt;&lt;w:sz-cs w:val=&quot;32&quot;/&gt;&lt;/w:rPr&gt;&lt;/m:ctrlPr&gt;&lt;/m:accPr&gt;&lt;m:e&gt;&lt;m:r&gt;&lt;w:rPr&gt;&lt;w:rFonts w:ascii=&quot;Cambria Math&quot; w:h-ansi=&quot;Cambria Math&quot;/&gt;&lt;wx:font wx:val=&quot;Cambria Math&quot;/&gt;&lt;w:i/&gt;&lt;w:sz w:val=&quot;32&quot;/&gt;&lt;w:sz-cs w:val=&quot;32&quot;/&gt;&lt;/w:rPr&gt;&lt;m:t&gt;y)&lt;/m:t&gt;&lt;/m:r&gt;&lt;/m:e&gt;&lt;/m:acc&gt;&lt;m:sSup&gt;&lt;m:sSupPr&gt;&lt;m:ctrlPr&gt;&lt;w:rPr&gt;&lt;w:rFonts w:ascii=&quot;Cambria Math&quot; w:h-ansi=&quot;Cambria Math&quot;/&gt;&lt;wx:font wx:val=&quot;Cambria Math&quot;/&gt;&lt;w:i/&gt;&lt;w:sz w:val=&quot;32&quot;/&gt;&lt;w:sz-cs w:val=&quot;32&quot;/&gt;&lt;/w:rPr&gt;&lt;/m:ctrlPr&gt;&lt;/m:sSupPr&gt;&lt;m:e/&gt;&lt;m:sup&gt;&lt;m:r&gt;&lt;w:rPr&gt;&lt;w:rFonts w:ascii=&quot;Cambria Math&quot; w:h-ansi=&quot;Cambria Math&quot;/&gt;&lt;wx:font wx:val=&quot;Cambria Math&quot;/&gt;&lt;w:i/&gt;&lt;w:sz w:val=&quot;32&quot;/&gt;&lt;w:sz-cs w:val=&quot;32&quot;/&gt;&lt;/w:rPr&gt;&lt;m:t&gt;2&lt;/m:t&gt;&lt;/m:r&gt;&lt;/m:sup&gt;&lt;/m:sSup&gt;&lt;/m:e&gt;&lt;/m:acc&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29" o:title="" chromakey="white"/>
          </v:shape>
        </w:pict>
      </w:r>
      <w:r w:rsidRPr="00EA0779">
        <w:instrText xml:space="preserve"> </w:instrText>
      </w:r>
      <w:r w:rsidRPr="00EA0779">
        <w:fldChar w:fldCharType="separate"/>
      </w:r>
      <w:r w:rsidRPr="00EA0779">
        <w:pict>
          <v:shape id="_x0000_i1033" type="#_x0000_t75" style="width:126.75pt;height:59.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27674&quot;/&gt;&lt;wsp:rsid wsp:val=&quot;0007736E&quot;/&gt;&lt;wsp:rsid wsp:val=&quot;000D16C3&quot;/&gt;&lt;wsp:rsid wsp:val=&quot;000E3802&quot;/&gt;&lt;wsp:rsid wsp:val=&quot;00123924&quot;/&gt;&lt;wsp:rsid wsp:val=&quot;001D7AF8&quot;/&gt;&lt;wsp:rsid wsp:val=&quot;00367D15&quot;/&gt;&lt;wsp:rsid wsp:val=&quot;00420104&quot;/&gt;&lt;wsp:rsid wsp:val=&quot;0045512E&quot;/&gt;&lt;wsp:rsid wsp:val=&quot;00471BFB&quot;/&gt;&lt;wsp:rsid wsp:val=&quot;005268D7&quot;/&gt;&lt;wsp:rsid wsp:val=&quot;00527674&quot;/&gt;&lt;wsp:rsid wsp:val=&quot;00552625&quot;/&gt;&lt;wsp:rsid wsp:val=&quot;0058010F&quot;/&gt;&lt;wsp:rsid wsp:val=&quot;005B0A90&quot;/&gt;&lt;wsp:rsid wsp:val=&quot;005B54D2&quot;/&gt;&lt;wsp:rsid wsp:val=&quot;00632A20&quot;/&gt;&lt;wsp:rsid wsp:val=&quot;006771D9&quot;/&gt;&lt;wsp:rsid wsp:val=&quot;007D1B16&quot;/&gt;&lt;wsp:rsid wsp:val=&quot;008811A1&quot;/&gt;&lt;wsp:rsid wsp:val=&quot;00942C1A&quot;/&gt;&lt;wsp:rsid wsp:val=&quot;009526B1&quot;/&gt;&lt;wsp:rsid wsp:val=&quot;00A71AE5&quot;/&gt;&lt;wsp:rsid wsp:val=&quot;00AD261D&quot;/&gt;&lt;wsp:rsid wsp:val=&quot;00B370D3&quot;/&gt;&lt;wsp:rsid wsp:val=&quot;00BE6B20&quot;/&gt;&lt;wsp:rsid wsp:val=&quot;00CB53CC&quot;/&gt;&lt;wsp:rsid wsp:val=&quot;00CE6205&quot;/&gt;&lt;wsp:rsid wsp:val=&quot;00E30211&quot;/&gt;&lt;wsp:rsid wsp:val=&quot;00E577AC&quot;/&gt;&lt;wsp:rsid wsp:val=&quot;00EC045B&quot;/&gt;&lt;wsp:rsid wsp:val=&quot;00EC557E&quot;/&gt;&lt;/wsp:rsids&gt;&lt;/w:docPr&gt;&lt;w:body&gt;&lt;w:p wsp:rsidR=&quot;00000000&quot; wsp:rsidRDefault=&quot;0007736E&quot;&gt;&lt;m:oMathPara&gt;&lt;m:oMath&gt;&lt;m:acc&gt;&lt;m:accPr&gt;&lt;m:chr m:val=&quot;Ě…&quot;/&gt;&lt;m:ctrlPr&gt;&lt;w:rPr&gt;&lt;w:rFonts w:ascii=&quot;Cambria Math&quot; w:h-ansi=&quot;Cambria Math&quot;/&gt;&lt;wx:font wx:val=&quot;Cambria Math&quot;/&gt;&lt;w:i/&gt;&lt;w:sz w:val=&quot;32&quot;/&gt;&lt;w:sz-cs w:val=&quot;32&quot;/&gt;&lt;/w:rPr&gt;&lt;/m:ctrlPr&gt;&lt;/m:accPr&gt;&lt;m:e&gt;&lt;m:rad&gt;&lt;m:radPr&gt;&lt;m:degHide m:val=&quot;on&quot;/&gt;&lt;m:ctrlPr&gt;&lt;w:rPr&gt;&lt;w:rFonts w:ascii=&quot;Cambria Math&quot; w:h-ansi=&quot;Cambria Math&quot;/&gt;&lt;wx:font wx:val=&quot;Cambria Math&quot;/&gt;&lt;w:i/&gt;&lt;w:sz w:val=&quot;32&quot;/&gt;&lt;w:sz-cs w:val=&quot;32&quot;/&gt;&lt;/w:rPr&gt;&lt;/m:ctrlPr&gt;&lt;/m:radPr&gt;&lt;m:deg/&gt;&lt;m:e&gt;&lt;m:f&gt;&lt;m:fPr&gt;&lt;m:ctrlPr&gt;&lt;w:rPr&gt;&lt;w:rFonts w:ascii=&quot;Cambria Math&quot; w:h-ansi=&quot;Cambria Math&quot;/&gt;&lt;wx:font wx:val=&quot;Cambria Math&quot;/&gt;&lt;w:i/&gt;&lt;w:sz w:val=&quot;32&quot;/&gt;&lt;w:sz-cs w:val=&quot;32&quot;/&gt;&lt;/w:rPr&gt;&lt;/m:ctrlPr&gt;&lt;/m:fPr&gt;&lt;m:num&gt;&lt;m:r&gt;&lt;w:rPr&gt;&lt;w:rFonts w:ascii=&quot;Cambria Math&quot; w:h-ansi=&quot;Cambria Math&quot;/&gt;&lt;wx:font wx:val=&quot;Cambria Math&quot;/&gt;&lt;w:i/&gt;&lt;w:sz w:val=&quot;32&quot;/&gt;&lt;w:sz-cs w:val=&quot;32&quot;/&gt;&lt;/w:rPr&gt;&lt;m:t&gt;1&lt;/m:t&gt;&lt;/m:r&gt;&lt;/m:num&gt;&lt;m:den&gt;&lt;m:r&gt;&lt;w:rPr&gt;&lt;w:rFonts w:ascii=&quot;Cambria Math&quot; w:h-ansi=&quot;Cambria Math&quot;/&gt;&lt;wx:font wx:val=&quot;Cambria Math&quot;/&gt;&lt;w:i/&gt;&lt;w:sz w:val=&quot;32&quot;/&gt;&lt;w:sz-cs w:val=&quot;32&quot;/&gt;&lt;/w:rPr&gt;&lt;m:t&gt;n &lt;/m:t&gt;&lt;/m:r&gt;&lt;/m:den&gt;&lt;/m:f&gt;&lt;m:r&gt;&lt;w:rPr&gt;&lt;w:rFonts w:ascii=&quot;Cambria Math&quot; w:h-ansi=&quot;Cambria Math&quot;/&gt;&lt;wx:font wx:val=&quot;Cambria Math&quot;/&gt;&lt;w:i/&gt;&lt;w:sz w:val=&quot;32&quot;/&gt;&lt;w:sz-cs w:val=&quot;32&quot;/&gt;&lt;/w:rPr&gt;&lt;m:t&gt; &lt;/m:t&gt;&lt;/m:r&gt;&lt;m:nary&gt;&lt;m:naryPr&gt;&lt;m:chr m:val=&quot;â‘&quot;/&gt;&lt;m:limLoc m:val=&quot;undOvr&quot;/&gt;&lt;m:supHide m:val=&quot;on&quot;/&gt;&lt;m:ctrlPr&gt;&lt;w:rPr&gt;&lt;w:rFonts w:ascii=&quot;Cambria Math&quot; w:h-ansi=&quot;Cambria Math&quot;/&gt;&lt;wx:font wx:val=&quot;Cambria Math&quot;/&gt;&lt;w:i/&gt;&lt;w:sz w:val=&quot;32&quot;/&gt;&lt;w:sz-cs w:val=&quot;32&quot;/&gt;&lt;/w:rPr&gt;&lt;/m:ctrlPr&gt;&lt;/m:naryPr&gt;&lt;m:sub&gt;&lt;m:r&gt;&lt;w:rPr&gt;&lt;w:rFonts w:ascii=&quot;Cambria Math&quot; w:h-ansi=&quot;Cambria Math&quot;/&gt;&lt;wx:font wx:val=&quot;Cambria Math&quot;/&gt;&lt;w:i/&gt;&lt;w:sz w:val=&quot;32&quot;/&gt;&lt;w:sz-cs w:val=&quot;32&quot;/&gt;&lt;/w:rPr&gt;&lt;m:t&gt;i&lt;/m:t&gt;&lt;/m:r&gt;&lt;/m:sub&gt;&lt;m:sup/&gt;&lt;m:e&gt;&lt;m:r&gt;&lt;w:rPr&gt;&lt;w:rFonts w:ascii=&quot;Cambria Math&quot; w:h-ansi=&quot;Cambria Math&quot;/&gt;&lt;wx:font wx:val=&quot;Cambria Math&quot;/&gt;&lt;w:i/&gt;&lt;w:sz w:val=&quot;32&quot;/&gt;&lt;w:sz-cs w:val=&quot;32&quot;/&gt;&lt;/w:rPr&gt;&lt;m:t&gt;(&lt;/m:t&gt;&lt;/m:r&gt;&lt;m:sSub&gt;&lt;m:sSubPr&gt;&lt;m:ctrlPr&gt;&lt;w:rPr&gt;&lt;w:rFonts w:ascii=&quot;Cambria Math&quot; w:h-ansi=&quot;Cambria Math&quot;/&gt;&lt;wx:font wx:val=&quot;Cambria Math&quot;/&gt;&lt;w:i/&gt;&lt;w:sz w:val=&quot;32&quot;/&gt;&lt;w:sz-cs w:val=&quot;32&quot;/&gt;&lt;/w:rPr&gt;&lt;/m:ctrlPr&gt;&lt;/m:sSubPr&gt;&lt;m:e&gt;&lt;m:r&gt;&lt;w:rPr&gt;&lt;w:rFonts w:ascii=&quot;Cambria Math&quot; w:h-ansi=&quot;Cambria Math&quot;/&gt;&lt;wx:font wx:val=&quot;Cambria Math&quot;/&gt;&lt;w:i/&gt;&lt;w:sz w:val=&quot;32&quot;/&gt;&lt;w:sz-cs w:val=&quot;32&quot;/&gt;&lt;/w:rPr&gt;&lt;m:t&gt;y&lt;/m:t&gt;&lt;/m:r&gt;&lt;/m:e&gt;&lt;m:sub&gt;&lt;m:r&gt;&lt;w:rPr&gt;&lt;w:rFonts w:ascii=&quot;Cambria Math&quot; w:h-ansi=&quot;Cambria Math&quot;/&gt;&lt;wx:font wx:val=&quot;Cambria Math&quot;/&gt;&lt;w:i/&gt;&lt;w:sz w:val=&quot;32&quot;/&gt;&lt;w:sz-cs w:val=&quot;32&quot;/&gt;&lt;/w:rPr&gt;&lt;m:t&gt;i&lt;/m:t&gt;&lt;/m:r&gt;&lt;/m:sub&gt;&lt;/m:sSub&gt;&lt;m:r&gt;&lt;w:rPr&gt;&lt;w:rFonts w:ascii=&quot;Cambria Math&quot; w:h-ansi=&quot;Cambria Math&quot;/&gt;&lt;wx:font wx:val=&quot;Cambria Math&quot;/&gt;&lt;w:i/&gt;&lt;w:sz w:val=&quot;32&quot;/&gt;&lt;w:sz-cs w:val=&quot;32&quot;/&gt;&lt;/w:rPr&gt;&lt;m:t&gt;-&lt;/m:t&gt;&lt;/m:r&gt;&lt;/m:e&gt;&lt;/m:nary&gt;&lt;/m:e&gt;&lt;/m:rad&gt;&lt;m:acc&gt;&lt;m:accPr&gt;&lt;m:chr m:val=&quot;Ě…&quot;/&gt;&lt;m:ctrlPr&gt;&lt;w:rPr&gt;&lt;w:rFonts w:ascii=&quot;Cambria Math&quot; w:h-ansi=&quot;Cambria Math&quot;/&gt;&lt;wx:font wx:val=&quot;Cambria Math&quot;/&gt;&lt;w:i/&gt;&lt;w:sz w:val=&quot;32&quot;/&gt;&lt;w:sz-cs w:val=&quot;32&quot;/&gt;&lt;/w:rPr&gt;&lt;/m:ctrlPr&gt;&lt;/m:accPr&gt;&lt;m:e&gt;&lt;m:r&gt;&lt;w:rPr&gt;&lt;w:rFonts w:ascii=&quot;Cambria Math&quot; w:h-ansi=&quot;Cambria Math&quot;/&gt;&lt;wx:font wx:val=&quot;Cambria Math&quot;/&gt;&lt;w:i/&gt;&lt;w:sz w:val=&quot;32&quot;/&gt;&lt;w:sz-cs w:val=&quot;32&quot;/&gt;&lt;/w:rPr&gt;&lt;m:t&gt;y)&lt;/m:t&gt;&lt;/m:r&gt;&lt;/m:e&gt;&lt;/m:acc&gt;&lt;m:sSup&gt;&lt;m:sSupPr&gt;&lt;m:ctrlPr&gt;&lt;w:rPr&gt;&lt;w:rFonts w:ascii=&quot;Cambria Math&quot; w:h-ansi=&quot;Cambria Math&quot;/&gt;&lt;wx:font wx:val=&quot;Cambria Math&quot;/&gt;&lt;w:i/&gt;&lt;w:sz w:val=&quot;32&quot;/&gt;&lt;w:sz-cs w:val=&quot;32&quot;/&gt;&lt;/w:rPr&gt;&lt;/m:ctrlPr&gt;&lt;/m:sSupPr&gt;&lt;m:e/&gt;&lt;m:sup&gt;&lt;m:r&gt;&lt;w:rPr&gt;&lt;w:rFonts w:ascii=&quot;Cambria Math&quot; w:h-ansi=&quot;Cambria Math&quot;/&gt;&lt;wx:font wx:val=&quot;Cambria Math&quot;/&gt;&lt;w:i/&gt;&lt;w:sz w:val=&quot;32&quot;/&gt;&lt;w:sz-cs w:val=&quot;32&quot;/&gt;&lt;/w:rPr&gt;&lt;m:t&gt;2&lt;/m:t&gt;&lt;/m:r&gt;&lt;/m:sup&gt;&lt;/m:sSup&gt;&lt;/m:e&gt;&lt;/m:acc&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29" o:title="" chromakey="white"/>
          </v:shape>
        </w:pict>
      </w:r>
      <w:r w:rsidRPr="00EA0779">
        <w:fldChar w:fldCharType="end"/>
      </w:r>
      <w:r>
        <w:t xml:space="preserve"> </w:t>
      </w:r>
      <w:r>
        <w:br/>
      </w:r>
      <w:r>
        <w:br/>
        <w:t>przy porównaniach bierzemy wielkość niemianowaną Y=S/y  z kreską</w:t>
      </w:r>
      <w:r>
        <w:br/>
      </w:r>
      <w:r>
        <w:br/>
        <w:t>*współczynnik ginniego- patrz góra</w:t>
      </w:r>
      <w:r>
        <w:br/>
        <w:t>Można mierzyć rozbieżności między skrajnymi wartościami, ale bierze się pod uwagę raczej procenty (decyle, kwintyle) decyl- 10% osób o najniższych i 10% osób o najwyższych np. dochodach i porównuje się realcję</w:t>
      </w:r>
      <w:r>
        <w:br/>
        <w:t xml:space="preserve"> co do Ginniego to największe zróżnicowanie w Rpa, Boliwii, Botswanie, Loreto, Namibii- 0,74(i jest to ostatnie miejsce!!) USA- 0,4, Rosja- 0,349, Chiny- 0,45</w:t>
      </w:r>
      <w:r>
        <w:br/>
        <w:t>wg kontynentów: Europa, Azja, Ameryka, Afryka. Najlepiej w Szwecji- 0,25</w:t>
      </w:r>
      <w:r>
        <w:br/>
        <w:t>*Wariancja!!!</w:t>
      </w:r>
      <w:r>
        <w:br/>
      </w:r>
    </w:p>
    <w:p w:rsidR="00AE45D9" w:rsidRPr="00420104" w:rsidRDefault="00AE45D9" w:rsidP="00420104">
      <w:pPr>
        <w:pStyle w:val="NormalWeb"/>
        <w:rPr>
          <w:szCs w:val="24"/>
          <w:lang w:eastAsia="pl-PL"/>
        </w:rPr>
      </w:pPr>
      <w:r>
        <w:t xml:space="preserve">Polityka społeczna - istota, cele, </w:t>
      </w:r>
      <w:r w:rsidRPr="00420104">
        <w:rPr>
          <w:color w:val="FF0000"/>
        </w:rPr>
        <w:t>rodzaje</w:t>
      </w:r>
      <w:r>
        <w:br/>
        <w:t>ISTOTA</w:t>
      </w:r>
      <w:r>
        <w:br/>
        <w:t>Polityka-z greckiego to sztuka rządzenia państwem</w:t>
      </w:r>
      <w:r>
        <w:br/>
        <w:t>Politycy- osoby, którym powierzono władzę 9możliwość kierowania wojskiem, stymulowania praw), osoby te zostały wybrane na drodze werdyktu zbiorowości- władza sprawowana w imieniu społeczeństwa (prawo i obowiązek).</w:t>
      </w:r>
      <w:r>
        <w:br/>
        <w:t>Polityka- rozsądna troska o dobre wspólne, ale niekoniecznie dobro każdego!</w:t>
      </w:r>
      <w:r>
        <w:br/>
      </w:r>
      <w:r>
        <w:br/>
        <w:t>Polityka społeczna:</w:t>
      </w:r>
      <w:r>
        <w:br/>
        <w:t>*to usystematyzowany zbiór wskazówek mówiących jak usuwać, a przynajmniej łagodzić niesprawiedliwości i szkody płynące dla jednostki i społeczeństwa z ustroju pracy najemnej, oraz jak przeciwdziałać dalszemu narastaniu tych niesprawiedliwości i powstawaniu nowych szkód</w:t>
      </w:r>
      <w:r>
        <w:br/>
        <w:t>*bada zmiany zachodzące w strukturze społecznej pod wpływem działalności grup społecznych i organów władzy publicznej oraz szuka sposobu celowego przeprowadzania zmian</w:t>
      </w:r>
      <w:r>
        <w:br/>
        <w:t>* jest powołana do zaspokajania potrzeb ludzkich w zakresie, który decyduje o prosperowaniu jednostek, a przez to o prawidłowym rozwoju całego społeczeństwa</w:t>
      </w:r>
      <w:r>
        <w:br/>
        <w:t>*celowa działalność państwa i innych podmiotów w dziedzinie kształtowania warunków życia ludności i stosunków międzyludzkich</w:t>
      </w:r>
      <w:r>
        <w:br/>
        <w:t xml:space="preserve">usystematyzowany zbiór wskazówek celowa działalność państwa- różnica co wskazuje na dwojakie znaczenie kategorii polityki społecznej jako a)naukowa (jak robić), b)działalność praktyczna (robić) </w:t>
      </w:r>
      <w:r>
        <w:br/>
        <w:t>CELE</w:t>
      </w:r>
      <w:r>
        <w:br/>
        <w:t>Cele polityki społecznej to wartości uniwersalne:</w:t>
      </w:r>
      <w:r>
        <w:br/>
        <w:t>*bezpieczeństwo socjalne: PS ma je zapewnić poprzez dostarczenie środków pieniężnych, dóbr, usług w przypadku inwalidztwa, bezrobocia, niepełnosprawności, starości, śmierci [przymusowa działalność charytatywna ze strony społeczeństwa: podatki i składki ubezpieczeniowe; sfera ryzyka socjalnego, solidarność społeczna- zabiera się jednym, żeby dać drugim]</w:t>
      </w:r>
      <w:r>
        <w:br/>
        <w:t>*inwestycje w kapitał ludzki- wyrównywanie szans rozwoju, zwłaszcza młodego pokolenia, jest to czynnik rozwoju gospodarczego</w:t>
      </w:r>
      <w:r>
        <w:br/>
        <w:t>*zapewnienie pokoju społecznego- jego wartość wzrasta w miarę dobrobytu społecznego- można więcej stracić gdy jest dobrobyt więc pokój potrzebny</w:t>
      </w:r>
      <w:r>
        <w:br/>
        <w:t>*ochrona życia rodzinnego i uniknięcie problemów demograficznych- bardzo dotyczy Europy i jest to bardzo ważny czynnik w dłuższej perspektywie, np. w Bułgarii następuje szybszy przyrost ludności tureckiej niż bułgarskiej</w:t>
      </w:r>
      <w:r>
        <w:br/>
      </w:r>
      <w:r>
        <w:br/>
        <w:t xml:space="preserve">Do prowadzenia polityki społecznej potrzebna wiedza, instynkt, wrażliwość społeczna, ale jak coś dotyczy spraw codziennych i trudnych to każda zmiana narusza czyjeś interesy- zawsze będą niezadowoleni i krytykujący. Realizowana polityka społeczna jest zarówno wynikiem rzetelnych analiz jak i efektem grup nacisków (np.. przed wyborami). </w:t>
      </w:r>
      <w:r>
        <w:br/>
      </w:r>
      <w:r>
        <w:br/>
      </w:r>
      <w:r w:rsidRPr="00420104">
        <w:rPr>
          <w:szCs w:val="24"/>
          <w:lang w:eastAsia="pl-PL"/>
        </w:rPr>
        <w:t>Wśród wielu celów polityki społecznej możliwe jest wyróżnienie:</w:t>
      </w:r>
    </w:p>
    <w:p w:rsidR="00AE45D9" w:rsidRPr="00420104" w:rsidRDefault="00AE45D9" w:rsidP="00420104">
      <w:pPr>
        <w:numPr>
          <w:ilvl w:val="0"/>
          <w:numId w:val="15"/>
        </w:numPr>
        <w:spacing w:before="100" w:beforeAutospacing="1" w:after="100" w:afterAutospacing="1" w:line="240" w:lineRule="auto"/>
        <w:rPr>
          <w:rFonts w:ascii="Times New Roman" w:hAnsi="Times New Roman"/>
          <w:sz w:val="24"/>
          <w:szCs w:val="24"/>
          <w:lang w:eastAsia="pl-PL"/>
        </w:rPr>
      </w:pPr>
      <w:r w:rsidRPr="00E30211">
        <w:rPr>
          <w:rFonts w:ascii="Times New Roman" w:hAnsi="Times New Roman"/>
          <w:sz w:val="24"/>
          <w:szCs w:val="24"/>
          <w:u w:val="single"/>
          <w:lang w:eastAsia="pl-PL"/>
        </w:rPr>
        <w:t>bezpieczeństwo socjalne</w:t>
      </w:r>
      <w:r w:rsidRPr="00420104">
        <w:rPr>
          <w:rFonts w:ascii="Times New Roman" w:hAnsi="Times New Roman"/>
          <w:sz w:val="24"/>
          <w:szCs w:val="24"/>
          <w:lang w:eastAsia="pl-PL"/>
        </w:rPr>
        <w:t>, które obejmuje zapewnienie dochodów i usług w sytuacji wystąpienia ryzyka socjalnego (choroba, inwalidztwo, starość, śmierć, bezrobocie)</w:t>
      </w:r>
    </w:p>
    <w:p w:rsidR="00AE45D9" w:rsidRPr="00420104" w:rsidRDefault="00AE45D9" w:rsidP="00420104">
      <w:pPr>
        <w:numPr>
          <w:ilvl w:val="0"/>
          <w:numId w:val="15"/>
        </w:numPr>
        <w:spacing w:before="100" w:beforeAutospacing="1" w:after="100" w:afterAutospacing="1" w:line="240" w:lineRule="auto"/>
        <w:rPr>
          <w:rFonts w:ascii="Times New Roman" w:hAnsi="Times New Roman"/>
          <w:sz w:val="24"/>
          <w:szCs w:val="24"/>
          <w:lang w:eastAsia="pl-PL"/>
        </w:rPr>
      </w:pPr>
      <w:r w:rsidRPr="00420104">
        <w:rPr>
          <w:rFonts w:ascii="Times New Roman" w:hAnsi="Times New Roman"/>
          <w:sz w:val="24"/>
          <w:szCs w:val="24"/>
          <w:u w:val="single"/>
          <w:lang w:eastAsia="pl-PL"/>
        </w:rPr>
        <w:t>inwestycje w człowieka</w:t>
      </w:r>
      <w:r w:rsidRPr="00420104">
        <w:rPr>
          <w:rFonts w:ascii="Times New Roman" w:hAnsi="Times New Roman"/>
          <w:sz w:val="24"/>
          <w:szCs w:val="24"/>
          <w:lang w:eastAsia="pl-PL"/>
        </w:rPr>
        <w:t xml:space="preserve"> – tworzenie równych szans rozwoju ludzi, kształcenie młodego pokolenia (są czynnikiem rozwoju ekonomicznego sprawiając, że wartości socjalne uzależnione są od polityki gospodarczej)</w:t>
      </w:r>
    </w:p>
    <w:p w:rsidR="00AE45D9" w:rsidRPr="00420104" w:rsidRDefault="00AE45D9" w:rsidP="00420104">
      <w:pPr>
        <w:numPr>
          <w:ilvl w:val="0"/>
          <w:numId w:val="15"/>
        </w:numPr>
        <w:spacing w:before="100" w:beforeAutospacing="1" w:after="100" w:afterAutospacing="1" w:line="240" w:lineRule="auto"/>
        <w:rPr>
          <w:rFonts w:ascii="Times New Roman" w:hAnsi="Times New Roman"/>
          <w:sz w:val="24"/>
          <w:szCs w:val="24"/>
          <w:lang w:eastAsia="pl-PL"/>
        </w:rPr>
      </w:pPr>
      <w:r w:rsidRPr="00E30211">
        <w:rPr>
          <w:rFonts w:ascii="Times New Roman" w:hAnsi="Times New Roman"/>
          <w:sz w:val="24"/>
          <w:szCs w:val="24"/>
          <w:u w:val="single"/>
          <w:lang w:eastAsia="pl-PL"/>
        </w:rPr>
        <w:t>ład społeczny</w:t>
      </w:r>
      <w:r w:rsidRPr="00420104">
        <w:rPr>
          <w:rFonts w:ascii="Times New Roman" w:hAnsi="Times New Roman"/>
          <w:sz w:val="24"/>
          <w:szCs w:val="24"/>
          <w:lang w:eastAsia="pl-PL"/>
        </w:rPr>
        <w:t xml:space="preserve"> – jest podstawą stabilizacji życiowej ludzi, współpracy w osiąganiu celów, tolerancji różnic między ludźmi. Wartość pokoju społecznego rośnie wraz z osiąganiem dobrobytu i stabilizacji politycznej</w:t>
      </w:r>
    </w:p>
    <w:p w:rsidR="00AE45D9" w:rsidRPr="00420104" w:rsidRDefault="00AE45D9" w:rsidP="00420104">
      <w:pPr>
        <w:numPr>
          <w:ilvl w:val="0"/>
          <w:numId w:val="15"/>
        </w:numPr>
        <w:spacing w:before="100" w:beforeAutospacing="1" w:after="100" w:afterAutospacing="1" w:line="240" w:lineRule="auto"/>
        <w:rPr>
          <w:rFonts w:ascii="Times New Roman" w:hAnsi="Times New Roman"/>
          <w:sz w:val="24"/>
          <w:szCs w:val="24"/>
          <w:lang w:eastAsia="pl-PL"/>
        </w:rPr>
      </w:pPr>
      <w:r w:rsidRPr="00420104">
        <w:rPr>
          <w:rFonts w:ascii="Times New Roman" w:hAnsi="Times New Roman"/>
          <w:sz w:val="24"/>
          <w:szCs w:val="24"/>
          <w:u w:val="single"/>
          <w:lang w:eastAsia="pl-PL"/>
        </w:rPr>
        <w:t>życie rodzinne</w:t>
      </w:r>
      <w:r w:rsidRPr="00420104">
        <w:rPr>
          <w:rFonts w:ascii="Times New Roman" w:hAnsi="Times New Roman"/>
          <w:sz w:val="24"/>
          <w:szCs w:val="24"/>
          <w:lang w:eastAsia="pl-PL"/>
        </w:rPr>
        <w:t xml:space="preserve"> – akcentowanie życia rodzinnego oznacza powrót do wartości związków między ludźmi i poczucia bezpieczeństwa na podstawie więzi emocjonalnych i uczuciowych. Wychowanie przyszłych generacji wymaga wsparcia rodzin nie tylko ubogich i nie tylko materialnego ze strony osób i instytucji.</w:t>
      </w:r>
    </w:p>
    <w:p w:rsidR="00AE45D9" w:rsidRPr="00E30211" w:rsidRDefault="00AE45D9" w:rsidP="00E30211">
      <w:pPr>
        <w:pStyle w:val="NormalWeb"/>
        <w:rPr>
          <w:szCs w:val="24"/>
          <w:lang w:eastAsia="pl-PL"/>
        </w:rPr>
      </w:pPr>
      <w:r>
        <w:t>RODZAJE</w:t>
      </w:r>
      <w:r>
        <w:br/>
      </w:r>
      <w:r w:rsidRPr="00E30211">
        <w:rPr>
          <w:szCs w:val="24"/>
          <w:lang w:eastAsia="pl-PL"/>
        </w:rPr>
        <w:t>W zakres zainteresowań polityki społecznej wchodzą zagadnienia prawne, polityczne, socjologiczne, ekonomiczne w następujących obszarach:</w:t>
      </w:r>
    </w:p>
    <w:p w:rsidR="00AE45D9" w:rsidRPr="00E30211" w:rsidRDefault="00AE45D9" w:rsidP="00E30211">
      <w:pPr>
        <w:numPr>
          <w:ilvl w:val="0"/>
          <w:numId w:val="16"/>
        </w:numPr>
        <w:spacing w:before="100" w:beforeAutospacing="1" w:after="100" w:afterAutospacing="1" w:line="240" w:lineRule="auto"/>
        <w:rPr>
          <w:rFonts w:ascii="Times New Roman" w:hAnsi="Times New Roman"/>
          <w:sz w:val="24"/>
          <w:szCs w:val="24"/>
          <w:lang w:eastAsia="pl-PL"/>
        </w:rPr>
      </w:pPr>
      <w:hyperlink r:id="rId30" w:tooltip="Polityka demograficzna" w:history="1">
        <w:r w:rsidRPr="00E30211">
          <w:rPr>
            <w:rFonts w:ascii="Times New Roman" w:hAnsi="Times New Roman"/>
            <w:sz w:val="24"/>
            <w:szCs w:val="24"/>
            <w:lang w:eastAsia="pl-PL"/>
          </w:rPr>
          <w:t>polityka demograficzna</w:t>
        </w:r>
      </w:hyperlink>
      <w:r w:rsidRPr="00E30211">
        <w:rPr>
          <w:rFonts w:ascii="Times New Roman" w:hAnsi="Times New Roman"/>
          <w:sz w:val="24"/>
          <w:szCs w:val="24"/>
          <w:lang w:eastAsia="pl-PL"/>
        </w:rPr>
        <w:t xml:space="preserve"> (ludnościowa) i </w:t>
      </w:r>
      <w:hyperlink r:id="rId31" w:tooltip="Polityka rodzinna" w:history="1">
        <w:r w:rsidRPr="00E30211">
          <w:rPr>
            <w:rFonts w:ascii="Times New Roman" w:hAnsi="Times New Roman"/>
            <w:sz w:val="24"/>
            <w:szCs w:val="24"/>
            <w:lang w:eastAsia="pl-PL"/>
          </w:rPr>
          <w:t>polityka rodzinna</w:t>
        </w:r>
      </w:hyperlink>
    </w:p>
    <w:p w:rsidR="00AE45D9" w:rsidRPr="00E30211" w:rsidRDefault="00AE45D9" w:rsidP="00E30211">
      <w:pPr>
        <w:numPr>
          <w:ilvl w:val="0"/>
          <w:numId w:val="16"/>
        </w:numPr>
        <w:spacing w:before="100" w:beforeAutospacing="1" w:after="100" w:afterAutospacing="1" w:line="240" w:lineRule="auto"/>
        <w:rPr>
          <w:rFonts w:ascii="Times New Roman" w:hAnsi="Times New Roman"/>
          <w:sz w:val="24"/>
          <w:szCs w:val="24"/>
          <w:lang w:eastAsia="pl-PL"/>
        </w:rPr>
      </w:pPr>
      <w:hyperlink r:id="rId32" w:tooltip="Polityka edukacyjna" w:history="1">
        <w:r w:rsidRPr="00E30211">
          <w:rPr>
            <w:rFonts w:ascii="Times New Roman" w:hAnsi="Times New Roman"/>
            <w:sz w:val="24"/>
            <w:szCs w:val="24"/>
            <w:lang w:eastAsia="pl-PL"/>
          </w:rPr>
          <w:t>polityka edukacyjna</w:t>
        </w:r>
      </w:hyperlink>
      <w:r w:rsidRPr="00E30211">
        <w:rPr>
          <w:rFonts w:ascii="Times New Roman" w:hAnsi="Times New Roman"/>
          <w:sz w:val="24"/>
          <w:szCs w:val="24"/>
          <w:lang w:eastAsia="pl-PL"/>
        </w:rPr>
        <w:t xml:space="preserve"> (oświatowa)</w:t>
      </w:r>
    </w:p>
    <w:p w:rsidR="00AE45D9" w:rsidRPr="00E30211" w:rsidRDefault="00AE45D9" w:rsidP="00E30211">
      <w:pPr>
        <w:numPr>
          <w:ilvl w:val="0"/>
          <w:numId w:val="16"/>
        </w:numPr>
        <w:spacing w:before="100" w:beforeAutospacing="1" w:after="100" w:afterAutospacing="1" w:line="240" w:lineRule="auto"/>
        <w:rPr>
          <w:rFonts w:ascii="Times New Roman" w:hAnsi="Times New Roman"/>
          <w:sz w:val="24"/>
          <w:szCs w:val="24"/>
          <w:lang w:eastAsia="pl-PL"/>
        </w:rPr>
      </w:pPr>
      <w:hyperlink r:id="rId33" w:tooltip="Polityka kulturalna (strona nie istnieje)" w:history="1">
        <w:r w:rsidRPr="00E30211">
          <w:rPr>
            <w:rFonts w:ascii="Times New Roman" w:hAnsi="Times New Roman"/>
            <w:sz w:val="24"/>
            <w:szCs w:val="24"/>
            <w:lang w:eastAsia="pl-PL"/>
          </w:rPr>
          <w:t>polityka kulturalna</w:t>
        </w:r>
      </w:hyperlink>
    </w:p>
    <w:p w:rsidR="00AE45D9" w:rsidRPr="00E30211" w:rsidRDefault="00AE45D9" w:rsidP="00E30211">
      <w:pPr>
        <w:numPr>
          <w:ilvl w:val="0"/>
          <w:numId w:val="16"/>
        </w:numPr>
        <w:spacing w:before="100" w:beforeAutospacing="1" w:after="100" w:afterAutospacing="1" w:line="240" w:lineRule="auto"/>
        <w:rPr>
          <w:rFonts w:ascii="Times New Roman" w:hAnsi="Times New Roman"/>
          <w:sz w:val="24"/>
          <w:szCs w:val="24"/>
          <w:lang w:eastAsia="pl-PL"/>
        </w:rPr>
      </w:pPr>
      <w:hyperlink r:id="rId34" w:tooltip="System opieki zdrowotnej w Polsce" w:history="1">
        <w:r w:rsidRPr="00E30211">
          <w:rPr>
            <w:rFonts w:ascii="Times New Roman" w:hAnsi="Times New Roman"/>
            <w:sz w:val="24"/>
            <w:szCs w:val="24"/>
            <w:lang w:eastAsia="pl-PL"/>
          </w:rPr>
          <w:t>polityka ochrony zdrowia</w:t>
        </w:r>
      </w:hyperlink>
    </w:p>
    <w:p w:rsidR="00AE45D9" w:rsidRPr="00E30211" w:rsidRDefault="00AE45D9" w:rsidP="00E30211">
      <w:pPr>
        <w:numPr>
          <w:ilvl w:val="0"/>
          <w:numId w:val="16"/>
        </w:numPr>
        <w:spacing w:before="100" w:beforeAutospacing="1" w:after="100" w:afterAutospacing="1" w:line="240" w:lineRule="auto"/>
        <w:rPr>
          <w:rFonts w:ascii="Times New Roman" w:hAnsi="Times New Roman"/>
          <w:sz w:val="24"/>
          <w:szCs w:val="24"/>
          <w:lang w:eastAsia="pl-PL"/>
        </w:rPr>
      </w:pPr>
      <w:hyperlink r:id="rId35" w:tooltip="Polityka mieszkaniowa" w:history="1">
        <w:r w:rsidRPr="00E30211">
          <w:rPr>
            <w:rFonts w:ascii="Times New Roman" w:hAnsi="Times New Roman"/>
            <w:sz w:val="24"/>
            <w:szCs w:val="24"/>
            <w:lang w:eastAsia="pl-PL"/>
          </w:rPr>
          <w:t>polityka mieszkaniowa</w:t>
        </w:r>
      </w:hyperlink>
    </w:p>
    <w:p w:rsidR="00AE45D9" w:rsidRPr="00E30211" w:rsidRDefault="00AE45D9" w:rsidP="00E30211">
      <w:pPr>
        <w:numPr>
          <w:ilvl w:val="0"/>
          <w:numId w:val="16"/>
        </w:numPr>
        <w:spacing w:before="100" w:beforeAutospacing="1" w:after="100" w:afterAutospacing="1" w:line="240" w:lineRule="auto"/>
        <w:rPr>
          <w:rFonts w:ascii="Times New Roman" w:hAnsi="Times New Roman"/>
          <w:sz w:val="24"/>
          <w:szCs w:val="24"/>
          <w:lang w:eastAsia="pl-PL"/>
        </w:rPr>
      </w:pPr>
      <w:hyperlink r:id="rId36" w:tooltip="Polityka migracyjna (strona nie istnieje)" w:history="1">
        <w:r w:rsidRPr="00E30211">
          <w:rPr>
            <w:rFonts w:ascii="Times New Roman" w:hAnsi="Times New Roman"/>
            <w:sz w:val="24"/>
            <w:szCs w:val="24"/>
            <w:lang w:eastAsia="pl-PL"/>
          </w:rPr>
          <w:t>polityka migracyjna</w:t>
        </w:r>
      </w:hyperlink>
    </w:p>
    <w:p w:rsidR="00AE45D9" w:rsidRPr="00E30211" w:rsidRDefault="00AE45D9" w:rsidP="00E30211">
      <w:pPr>
        <w:numPr>
          <w:ilvl w:val="0"/>
          <w:numId w:val="16"/>
        </w:numPr>
        <w:spacing w:before="100" w:beforeAutospacing="1" w:after="100" w:afterAutospacing="1" w:line="240" w:lineRule="auto"/>
        <w:rPr>
          <w:rFonts w:ascii="Times New Roman" w:hAnsi="Times New Roman"/>
          <w:sz w:val="24"/>
          <w:szCs w:val="24"/>
          <w:lang w:eastAsia="pl-PL"/>
        </w:rPr>
      </w:pPr>
      <w:hyperlink r:id="rId37" w:tooltip="Polityka zatrudnienia" w:history="1">
        <w:r w:rsidRPr="00E30211">
          <w:rPr>
            <w:rFonts w:ascii="Times New Roman" w:hAnsi="Times New Roman"/>
            <w:sz w:val="24"/>
            <w:szCs w:val="24"/>
            <w:lang w:eastAsia="pl-PL"/>
          </w:rPr>
          <w:t>polityka zatrudnienia</w:t>
        </w:r>
      </w:hyperlink>
      <w:r w:rsidRPr="00E30211">
        <w:rPr>
          <w:rFonts w:ascii="Times New Roman" w:hAnsi="Times New Roman"/>
          <w:sz w:val="24"/>
          <w:szCs w:val="24"/>
          <w:lang w:eastAsia="pl-PL"/>
        </w:rPr>
        <w:t xml:space="preserve"> (przeciwdziałanie </w:t>
      </w:r>
      <w:hyperlink r:id="rId38" w:tooltip="Bezrobocie" w:history="1">
        <w:r w:rsidRPr="00E30211">
          <w:rPr>
            <w:rFonts w:ascii="Times New Roman" w:hAnsi="Times New Roman"/>
            <w:sz w:val="24"/>
            <w:szCs w:val="24"/>
            <w:lang w:eastAsia="pl-PL"/>
          </w:rPr>
          <w:t>bezrobociu</w:t>
        </w:r>
      </w:hyperlink>
      <w:r w:rsidRPr="00E30211">
        <w:rPr>
          <w:rFonts w:ascii="Times New Roman" w:hAnsi="Times New Roman"/>
          <w:sz w:val="24"/>
          <w:szCs w:val="24"/>
          <w:lang w:eastAsia="pl-PL"/>
        </w:rPr>
        <w:t xml:space="preserve">, kształtowanie </w:t>
      </w:r>
      <w:hyperlink r:id="rId39" w:tooltip="Płaca" w:history="1">
        <w:r w:rsidRPr="00E30211">
          <w:rPr>
            <w:rFonts w:ascii="Times New Roman" w:hAnsi="Times New Roman"/>
            <w:sz w:val="24"/>
            <w:szCs w:val="24"/>
            <w:lang w:eastAsia="pl-PL"/>
          </w:rPr>
          <w:t>płac</w:t>
        </w:r>
      </w:hyperlink>
      <w:r w:rsidRPr="00E30211">
        <w:rPr>
          <w:rFonts w:ascii="Times New Roman" w:hAnsi="Times New Roman"/>
          <w:sz w:val="24"/>
          <w:szCs w:val="24"/>
          <w:lang w:eastAsia="pl-PL"/>
        </w:rPr>
        <w:t xml:space="preserve"> i </w:t>
      </w:r>
      <w:hyperlink r:id="rId40" w:tooltip="BHP" w:history="1">
        <w:r w:rsidRPr="00E30211">
          <w:rPr>
            <w:rFonts w:ascii="Times New Roman" w:hAnsi="Times New Roman"/>
            <w:sz w:val="24"/>
            <w:szCs w:val="24"/>
            <w:lang w:eastAsia="pl-PL"/>
          </w:rPr>
          <w:t>warunków bezpieczeństwa pracy</w:t>
        </w:r>
      </w:hyperlink>
      <w:r w:rsidRPr="00E30211">
        <w:rPr>
          <w:rFonts w:ascii="Times New Roman" w:hAnsi="Times New Roman"/>
          <w:sz w:val="24"/>
          <w:szCs w:val="24"/>
          <w:lang w:eastAsia="pl-PL"/>
        </w:rPr>
        <w:t>)</w:t>
      </w:r>
    </w:p>
    <w:p w:rsidR="00AE45D9" w:rsidRPr="00E30211" w:rsidRDefault="00AE45D9" w:rsidP="00E30211">
      <w:pPr>
        <w:numPr>
          <w:ilvl w:val="0"/>
          <w:numId w:val="16"/>
        </w:numPr>
        <w:spacing w:before="100" w:beforeAutospacing="1" w:after="100" w:afterAutospacing="1" w:line="240" w:lineRule="auto"/>
        <w:rPr>
          <w:rFonts w:ascii="Times New Roman" w:hAnsi="Times New Roman"/>
          <w:sz w:val="24"/>
          <w:szCs w:val="24"/>
          <w:lang w:eastAsia="pl-PL"/>
        </w:rPr>
      </w:pPr>
      <w:r w:rsidRPr="00E30211">
        <w:rPr>
          <w:rFonts w:ascii="Times New Roman" w:hAnsi="Times New Roman"/>
          <w:sz w:val="24"/>
          <w:szCs w:val="24"/>
          <w:lang w:eastAsia="pl-PL"/>
        </w:rPr>
        <w:t xml:space="preserve">polityka zabezpieczenia społecznego i </w:t>
      </w:r>
      <w:hyperlink r:id="rId41" w:tooltip="Pomoc społeczna" w:history="1">
        <w:r w:rsidRPr="00E30211">
          <w:rPr>
            <w:rFonts w:ascii="Times New Roman" w:hAnsi="Times New Roman"/>
            <w:sz w:val="24"/>
            <w:szCs w:val="24"/>
            <w:lang w:eastAsia="pl-PL"/>
          </w:rPr>
          <w:t>pomocy społecznej</w:t>
        </w:r>
      </w:hyperlink>
    </w:p>
    <w:p w:rsidR="00AE45D9" w:rsidRPr="00E30211" w:rsidRDefault="00AE45D9" w:rsidP="00E30211">
      <w:pPr>
        <w:numPr>
          <w:ilvl w:val="0"/>
          <w:numId w:val="16"/>
        </w:numPr>
        <w:spacing w:before="100" w:beforeAutospacing="1" w:after="100" w:afterAutospacing="1" w:line="240" w:lineRule="auto"/>
        <w:rPr>
          <w:rFonts w:ascii="Times New Roman" w:hAnsi="Times New Roman"/>
          <w:sz w:val="24"/>
          <w:szCs w:val="24"/>
          <w:lang w:eastAsia="pl-PL"/>
        </w:rPr>
      </w:pPr>
      <w:r w:rsidRPr="00E30211">
        <w:rPr>
          <w:rFonts w:ascii="Times New Roman" w:hAnsi="Times New Roman"/>
          <w:sz w:val="24"/>
          <w:szCs w:val="24"/>
          <w:lang w:eastAsia="pl-PL"/>
        </w:rPr>
        <w:t xml:space="preserve">polityka </w:t>
      </w:r>
      <w:hyperlink r:id="rId42" w:tooltip="Ochrona przyrody" w:history="1">
        <w:r w:rsidRPr="00E30211">
          <w:rPr>
            <w:rFonts w:ascii="Times New Roman" w:hAnsi="Times New Roman"/>
            <w:sz w:val="24"/>
            <w:szCs w:val="24"/>
            <w:lang w:eastAsia="pl-PL"/>
          </w:rPr>
          <w:t>ochrony środowiska</w:t>
        </w:r>
      </w:hyperlink>
      <w:r w:rsidRPr="00E30211">
        <w:rPr>
          <w:rFonts w:ascii="Times New Roman" w:hAnsi="Times New Roman"/>
          <w:sz w:val="24"/>
          <w:szCs w:val="24"/>
          <w:lang w:eastAsia="pl-PL"/>
        </w:rPr>
        <w:t xml:space="preserve"> naturalnego</w:t>
      </w:r>
    </w:p>
    <w:p w:rsidR="00AE45D9" w:rsidRPr="00E30211" w:rsidRDefault="00AE45D9" w:rsidP="00E30211">
      <w:pPr>
        <w:numPr>
          <w:ilvl w:val="0"/>
          <w:numId w:val="16"/>
        </w:numPr>
        <w:spacing w:before="100" w:beforeAutospacing="1" w:after="100" w:afterAutospacing="1" w:line="240" w:lineRule="auto"/>
        <w:rPr>
          <w:rFonts w:ascii="Times New Roman" w:hAnsi="Times New Roman"/>
          <w:sz w:val="24"/>
          <w:szCs w:val="24"/>
          <w:lang w:eastAsia="pl-PL"/>
        </w:rPr>
      </w:pPr>
      <w:r w:rsidRPr="00E30211">
        <w:rPr>
          <w:rFonts w:ascii="Times New Roman" w:hAnsi="Times New Roman"/>
          <w:sz w:val="24"/>
          <w:szCs w:val="24"/>
          <w:lang w:eastAsia="pl-PL"/>
        </w:rPr>
        <w:t xml:space="preserve">polityka prewencji i zwalczania zjawisk </w:t>
      </w:r>
      <w:hyperlink r:id="rId43" w:tooltip="Dewiacja społeczna" w:history="1">
        <w:r w:rsidRPr="00E30211">
          <w:rPr>
            <w:rFonts w:ascii="Times New Roman" w:hAnsi="Times New Roman"/>
            <w:sz w:val="24"/>
            <w:szCs w:val="24"/>
            <w:lang w:eastAsia="pl-PL"/>
          </w:rPr>
          <w:t>patologii</w:t>
        </w:r>
      </w:hyperlink>
      <w:r w:rsidRPr="00E30211">
        <w:rPr>
          <w:rFonts w:ascii="Times New Roman" w:hAnsi="Times New Roman"/>
          <w:sz w:val="24"/>
          <w:szCs w:val="24"/>
          <w:lang w:eastAsia="pl-PL"/>
        </w:rPr>
        <w:t>.</w:t>
      </w:r>
    </w:p>
    <w:p w:rsidR="00AE45D9" w:rsidRDefault="00AE45D9" w:rsidP="00E30211">
      <w:pPr>
        <w:pStyle w:val="NormalWeb"/>
      </w:pPr>
    </w:p>
    <w:p w:rsidR="00AE45D9" w:rsidRDefault="00AE45D9" w:rsidP="005268D7">
      <w:pPr>
        <w:pStyle w:val="NormalWeb"/>
        <w:numPr>
          <w:ilvl w:val="0"/>
          <w:numId w:val="11"/>
        </w:numPr>
      </w:pPr>
      <w:r>
        <w:t xml:space="preserve">Istota i przyczyny ubóstwa </w:t>
      </w:r>
      <w:r>
        <w:br/>
        <w:t>Ubóstwo- bieda, niedostatek, brak możliwości zaspokojenia potrzeb na określonym poziomie. Według kościoła to stan różnego rodzaju braków, do takiego rodzaju braków i o takich rozmiarach, że konkretny człowiek permanentnie nie zaspokaja swoich podstawowych potrzeb, czuje się poniżony w swojej godności, rozwój jego osobowości przeżywa kryzys, którego nie może przezwyciężyć własnymi siłami. Ta definicja uwzględnia zarówno sens ekonomiczny, materialny jak i duchowy. Permanentnie czyli stale, ciągle- jak długo pozostaje się w sferze ubóstwa? Teoria dziedziczenia ubóstwa- bardzo ciężko się z niego wyrwać, potrzebna jest pomoc z zewnątrz.</w:t>
      </w:r>
      <w:r>
        <w:br/>
        <w:t>PRZYCZYNY</w:t>
      </w:r>
      <w:r>
        <w:br/>
        <w:t>*mogą być w ludziach- „skażone charaktery”: biednym brakuje ambicji, aspiracji, umiejętności, zdolności, jak sobie pościelisz…, biedny nie wkłada odpowiedniego wysiłku by polepszyć swój stan</w:t>
      </w:r>
      <w:r>
        <w:br/>
        <w:t>*teoria ograniczonych możliwości: ubóstwo wynikiem splotów wydarzeń, na które jednostka nie ma wpływu, mimo swych aspiracji i starań</w:t>
      </w:r>
      <w:r>
        <w:br/>
        <w:t>*teoria wielkiego brata- ubóstwo spowodowane jest przez władze publiczne, które niszczą ekonomiczną niezależność rodzin- albo poprzez wysokie podatki albo poprze liczne transfery socjalne-opłaca się korzystać z transferów a nie pracować (negatywny efekt)</w:t>
      </w:r>
    </w:p>
    <w:p w:rsidR="00AE45D9" w:rsidRDefault="00AE45D9" w:rsidP="005268D7">
      <w:pPr>
        <w:pStyle w:val="NormalWeb"/>
        <w:numPr>
          <w:ilvl w:val="0"/>
          <w:numId w:val="11"/>
        </w:numPr>
      </w:pPr>
      <w:r>
        <w:t>Sprawiedliwość społeczna według liberałów.</w:t>
      </w:r>
      <w:r>
        <w:br/>
        <w:t>*NOZLIK:</w:t>
      </w:r>
      <w:r>
        <w:br/>
        <w:t>osoba ma prawo zgodnie z zasadą sprawiedliwości do majątku tylko gdy nastąpiła sprawiedliwość zdobywania (np. wynagrodzenie za pracę-płaca) lub odziedziczyła majątek (wcześniej sprawiedliwy nabyty). Państwo może zgodnie z zasadą korygowania dokonać redystrybucji środków majątkowych jeśli nie zostały zdobyte sprawiedliwie. Jest jedno dobro publiczne- bezpieczeństwo publiczne i poszanowanie własności (obrona naszej osoby i własności z przymusem wykonywania dobrowolnych umów) i na to dobro mogą być ściągane podatki- a wszelkie inne opodatkowanie to kradzież i wymuszanie.</w:t>
      </w:r>
      <w:r>
        <w:br/>
        <w:t>*HAYEK</w:t>
      </w:r>
      <w:r>
        <w:br/>
        <w:t>wg niego znaczenie mają trzy wątki: 1)wolność (prymat wolności indywidualnej); 2) mechanizm rynkowy; 3)dążenie do sprawiedliwości społecznej jest bezowocne. Jak to uzasadniał? Wolność to brak przymusu, a zwłaszcza państwowego (przymus dozwolony w indywidualnych przypadkach np. ochrony). Prowadząc działalność gospodarczą przyczyniamy się do realizowania dobra wspólnego(przeciwieństwo kolektywistów). Tam gdzie jest ktoś odpowiedzialny za dane działanie to można mówić o sprawiedliwości Lu jej braku, w innych przypadkach coś może być korzystne lub nie. Działalność na rynku może być korzystna lub nie, dobra/ zła, ale nie może być nigdy sprawiedliwa/niesprawiedliwa. Dążenie do sprawiedliwości społecznej jest bezowocne, bo nie możemy posługiwać się terminem sprawiedliwość wobec mechanizmów rynkowych. Pozycja ludzi staje się coraz bardziej zależna od władz publicznych- im bardziej dąży się do osiągnięcia sprawiedliwości społecznej, tym bardziej zbliżamy się do systemu totalitarnego.</w:t>
      </w:r>
      <w:r>
        <w:br/>
        <w:t>*FRIEDMAN</w:t>
      </w:r>
      <w:r>
        <w:br/>
        <w:t xml:space="preserve">podstawową wartością jest wolność indywidualna. Kompetencje władz publicznych muszą być ograniczone, a funkcja państwa to ochrona wolności przed wrogami z zewnątrz i współobywatelami- ochrona porządku, przestrzeganie umów indywidualnych, sprzyjanie konkurencyjnym rynkom. Państwo ma to zapewnić i podejmować ściśle ograniczone przedsięwzięcia dla zmniejszenia ubóstwa.  </w:t>
      </w:r>
    </w:p>
    <w:p w:rsidR="00AE45D9" w:rsidRDefault="00AE45D9" w:rsidP="005268D7">
      <w:pPr>
        <w:pStyle w:val="NormalWeb"/>
        <w:numPr>
          <w:ilvl w:val="0"/>
          <w:numId w:val="11"/>
        </w:numPr>
      </w:pPr>
      <w:r>
        <w:t xml:space="preserve">Sprawiedliwość w systemie opieki zdrowotnej. </w:t>
      </w:r>
      <w:r>
        <w:br/>
        <w:t>Sprawiedliwość społeczna w zakresie usług medycznych byłaby realizowana gdyby 2 osoby o takim samym stanie zdrowia otrzymały ten sam zakres usług- oznacza to, że stan zdrowia decyduje o usługach medycznych zalecanych danej osobie.</w:t>
      </w:r>
    </w:p>
    <w:p w:rsidR="00AE45D9" w:rsidRPr="00AD261D" w:rsidRDefault="00AE45D9" w:rsidP="00AD261D">
      <w:pPr>
        <w:pStyle w:val="NormalWeb"/>
        <w:rPr>
          <w:szCs w:val="24"/>
          <w:lang w:eastAsia="pl-PL"/>
        </w:rPr>
      </w:pPr>
      <w:r>
        <w:t>nierówności dochodowe - istota i skutki</w:t>
      </w:r>
      <w:r>
        <w:rPr>
          <w:color w:val="FF0000"/>
        </w:rPr>
        <w:t>?</w:t>
      </w:r>
      <w:r>
        <w:br/>
        <w:t xml:space="preserve">to różnice między osobami, grupami osób pod względem dochodów </w:t>
      </w:r>
      <w:r>
        <w:br/>
      </w:r>
      <w:r>
        <w:br/>
      </w:r>
      <w:r w:rsidRPr="00AD261D">
        <w:rPr>
          <w:b/>
          <w:bCs/>
          <w:szCs w:val="24"/>
          <w:lang w:eastAsia="pl-PL"/>
        </w:rPr>
        <w:t>Przy danym poziomie PKB na mieszkańca</w:t>
      </w:r>
      <w:r w:rsidRPr="00AD261D">
        <w:rPr>
          <w:szCs w:val="24"/>
          <w:lang w:eastAsia="pl-PL"/>
        </w:rPr>
        <w:t xml:space="preserve">, w różnych krajach dochody mogą być w różny sposób dzielone między różne grupy gospodarstw domowych. </w:t>
      </w:r>
    </w:p>
    <w:p w:rsidR="00AE45D9" w:rsidRPr="00AD261D" w:rsidRDefault="00AE45D9" w:rsidP="00AD261D">
      <w:pPr>
        <w:spacing w:before="100" w:beforeAutospacing="1" w:after="100" w:afterAutospacing="1" w:line="240" w:lineRule="auto"/>
        <w:rPr>
          <w:rFonts w:ascii="Times New Roman" w:hAnsi="Times New Roman"/>
          <w:sz w:val="24"/>
          <w:szCs w:val="24"/>
          <w:lang w:eastAsia="pl-PL"/>
        </w:rPr>
      </w:pPr>
      <w:r w:rsidRPr="00AD261D">
        <w:rPr>
          <w:rFonts w:ascii="Times New Roman" w:hAnsi="Times New Roman"/>
          <w:sz w:val="24"/>
          <w:szCs w:val="24"/>
          <w:lang w:eastAsia="pl-PL"/>
        </w:rPr>
        <w:t xml:space="preserve">W kraju, w którym rozkład dochodów byłby idealnie równy, nie występowałyby też nierówności dochodowe: każde gospodarstwo domowe dysponowałoby identycznymi środkami i w zbliżonym stopniu korzystałoby z wytworzonych dóbr. Z kolei w kraju, w którym rozkład dochodów jest bardzo nierównomierny, stosunkowo nieduża grupa gospodarstw domowych uzyskuje większość wszelkich wytworzonych w kraju dochodów, a więc również może nabyć większość wytworzonych dóbr. Sytuację taką nazywamy właśnie stanem znacznych nierówności dochodowych. </w:t>
      </w:r>
    </w:p>
    <w:p w:rsidR="00AE45D9" w:rsidRPr="00AD261D" w:rsidRDefault="00AE45D9" w:rsidP="00AD261D">
      <w:pPr>
        <w:spacing w:before="100" w:beforeAutospacing="1" w:after="100" w:afterAutospacing="1" w:line="240" w:lineRule="auto"/>
        <w:rPr>
          <w:rFonts w:ascii="Times New Roman" w:hAnsi="Times New Roman"/>
          <w:sz w:val="24"/>
          <w:szCs w:val="24"/>
          <w:lang w:eastAsia="pl-PL"/>
        </w:rPr>
      </w:pPr>
      <w:r w:rsidRPr="00AD261D">
        <w:rPr>
          <w:rFonts w:ascii="Times New Roman" w:hAnsi="Times New Roman"/>
          <w:sz w:val="24"/>
          <w:szCs w:val="24"/>
          <w:lang w:eastAsia="pl-PL"/>
        </w:rPr>
        <w:t xml:space="preserve">Aby zmierzyć stan nierówności dochodowych, wykorzystuje się zazwyczaj tzw. współczynnik Giniego, którego wartość zawiera się w przedziale od 0 do 1. Im wyższa wartość współczynnika oznacza większą skalę nierówności. We współczesnych gospodarkach współczynnik Giniego waha się od 0.25 (kraje skandynawskie) do 0.65 (kraje Ameryki Łacińskiej). </w:t>
      </w:r>
    </w:p>
    <w:p w:rsidR="00AE45D9" w:rsidRPr="00AD261D" w:rsidRDefault="00AE45D9" w:rsidP="00AD261D">
      <w:pPr>
        <w:spacing w:before="100" w:beforeAutospacing="1" w:after="100" w:afterAutospacing="1" w:line="240" w:lineRule="auto"/>
        <w:rPr>
          <w:rFonts w:ascii="Times New Roman" w:hAnsi="Times New Roman"/>
          <w:sz w:val="24"/>
          <w:szCs w:val="24"/>
          <w:lang w:eastAsia="pl-PL"/>
        </w:rPr>
      </w:pPr>
      <w:r w:rsidRPr="00AD261D">
        <w:rPr>
          <w:rFonts w:ascii="Times New Roman" w:hAnsi="Times New Roman"/>
          <w:sz w:val="24"/>
          <w:szCs w:val="24"/>
          <w:lang w:eastAsia="pl-PL"/>
        </w:rPr>
        <w:t xml:space="preserve">Nie jest do końca jasny związek nierówności dochodowych ze wzrostem gospodarczym: </w:t>
      </w:r>
      <w:r w:rsidRPr="00AD261D">
        <w:rPr>
          <w:rFonts w:ascii="Times New Roman" w:hAnsi="Times New Roman"/>
          <w:sz w:val="24"/>
          <w:szCs w:val="24"/>
          <w:lang w:eastAsia="pl-PL"/>
        </w:rPr>
        <w:br/>
        <w:t xml:space="preserve">• Często uważa się, że nierówności dochodowe są niezbędne, aby zapewnić odpowiednio silną motywację do inwestowania, rozwoju przedsiębiorczości i aktywności gospodarczej. Stosunkowo wysokie nierówności dochodowe są również zazwyczaj związane z niskim fiskalizmem (sprzyjającym wzrostowi). </w:t>
      </w:r>
      <w:r w:rsidRPr="00AD261D">
        <w:rPr>
          <w:rFonts w:ascii="Times New Roman" w:hAnsi="Times New Roman"/>
          <w:sz w:val="24"/>
          <w:szCs w:val="24"/>
          <w:lang w:eastAsia="pl-PL"/>
        </w:rPr>
        <w:br/>
        <w:t xml:space="preserve">• Jednocześnie nadmierna skala nierówności dochodowych może prowadzić do niepokojów społecznych i zaburzeń politycznych. Często również występowanie wąskich warstw społecznych skupiających w ręce przeważającą część majątku narodowego i dochodów nie musi wcale prowadzić do zwiększonych inwestycji, ale do ukształtowania się modelu warstwy pasożytniczej, przeznaczającej dochody na luksusową konsumpcję. </w:t>
      </w:r>
    </w:p>
    <w:p w:rsidR="00AE45D9" w:rsidRPr="00AD261D" w:rsidRDefault="00AE45D9" w:rsidP="00AD261D">
      <w:pPr>
        <w:spacing w:before="100" w:beforeAutospacing="1" w:after="100" w:afterAutospacing="1" w:line="240" w:lineRule="auto"/>
        <w:rPr>
          <w:rFonts w:ascii="Times New Roman" w:hAnsi="Times New Roman"/>
          <w:sz w:val="24"/>
          <w:szCs w:val="24"/>
          <w:lang w:eastAsia="pl-PL"/>
        </w:rPr>
      </w:pPr>
      <w:r w:rsidRPr="00AD261D">
        <w:rPr>
          <w:rFonts w:ascii="Times New Roman" w:hAnsi="Times New Roman"/>
          <w:sz w:val="24"/>
          <w:szCs w:val="24"/>
          <w:lang w:eastAsia="pl-PL"/>
        </w:rPr>
        <w:t xml:space="preserve">Wśród historycznych przykładów krajów o małym zróżnicowaniu dochodów znajdowały się zarówno kraje, które zdołały osiągnąć wysoki poziom rozwoju (np. kraje skandynawskie), jak i kraje które radziły sobie znacznie gorzej (kraje komunistyczne). Z drugiej strony, również w warunkach stosunkowo dużego zróżnicowania dochodów możliwe było zarówno osiągnięcie sukcesu rozwojowego (USA) jak jego brak (Argentyna, kraje Afryki Subsaharyjskiej). Warto zauważyć, że skala nierówności dochodowych wyraźnie wzrosła również w krajach przechodzących transformację gospodarczą. Uważa się to często za nieuniknioną konsekwencję liberalizacji gospodarki i rozwoju prywatnej przedsiębiorczości. Z drugiej jednak strony, skala wzrostu nierówności dochodowych w krajach przechodzących transformację gospodarczą była niejednakowa – od stosunkowo umiarkowanej w krajach Europy Środkowej, do ogromnej w krajach byłego ZSRR – i trudno wskazać na wyraźne związki skali tych zmian z powodzeniem procesów transformacji. </w:t>
      </w:r>
    </w:p>
    <w:p w:rsidR="00AE45D9" w:rsidRPr="00AD261D" w:rsidRDefault="00AE45D9" w:rsidP="00AD261D">
      <w:pPr>
        <w:spacing w:before="100" w:beforeAutospacing="1" w:after="100" w:afterAutospacing="1" w:line="240" w:lineRule="auto"/>
        <w:rPr>
          <w:rFonts w:ascii="Times New Roman" w:hAnsi="Times New Roman"/>
          <w:sz w:val="24"/>
          <w:szCs w:val="24"/>
          <w:lang w:eastAsia="pl-PL"/>
        </w:rPr>
      </w:pPr>
      <w:r w:rsidRPr="00AD261D">
        <w:rPr>
          <w:rFonts w:ascii="Times New Roman" w:hAnsi="Times New Roman"/>
          <w:sz w:val="24"/>
          <w:szCs w:val="24"/>
          <w:lang w:eastAsia="pl-PL"/>
        </w:rPr>
        <w:t xml:space="preserve">Obok nierówności dochodowych, należy zwrócić uwagę na zjawisko ubóstwa, czyli istnienia grupy gospodarstw domowych o dochodach nie pozwalających na godne życie. Ubóstwo definiuje się na 2 sposoby: </w:t>
      </w:r>
      <w:r w:rsidRPr="00AD261D">
        <w:rPr>
          <w:rFonts w:ascii="Times New Roman" w:hAnsi="Times New Roman"/>
          <w:sz w:val="24"/>
          <w:szCs w:val="24"/>
          <w:lang w:eastAsia="pl-PL"/>
        </w:rPr>
        <w:br/>
        <w:t xml:space="preserve">• Ubóstwo względne mierzy się jako odsetek gospodarstw domowych w danym kraju, których dochody są niższe niż np.50% średniego dochodu. </w:t>
      </w:r>
      <w:r w:rsidRPr="00AD261D">
        <w:rPr>
          <w:rFonts w:ascii="Times New Roman" w:hAnsi="Times New Roman"/>
          <w:sz w:val="24"/>
          <w:szCs w:val="24"/>
          <w:lang w:eastAsia="pl-PL"/>
        </w:rPr>
        <w:br/>
        <w:t xml:space="preserve">• Ubóstwo bezwzględne mierzy się jako odsetek gospodarstw domowych o dochodach poniżej pewnej granicy, np. 1 USD na osobę dziennie mierzonego według parytetu siły nabywczej. </w:t>
      </w:r>
    </w:p>
    <w:p w:rsidR="00AE45D9" w:rsidRPr="00AD261D" w:rsidRDefault="00AE45D9" w:rsidP="00AD261D">
      <w:pPr>
        <w:spacing w:before="100" w:beforeAutospacing="1" w:after="100" w:afterAutospacing="1" w:line="240" w:lineRule="auto"/>
        <w:rPr>
          <w:rFonts w:ascii="Times New Roman" w:hAnsi="Times New Roman"/>
          <w:sz w:val="24"/>
          <w:szCs w:val="24"/>
          <w:lang w:eastAsia="pl-PL"/>
        </w:rPr>
      </w:pPr>
      <w:r w:rsidRPr="00AD261D">
        <w:rPr>
          <w:rFonts w:ascii="Times New Roman" w:hAnsi="Times New Roman"/>
          <w:sz w:val="24"/>
          <w:szCs w:val="24"/>
          <w:lang w:eastAsia="pl-PL"/>
        </w:rPr>
        <w:t xml:space="preserve">Oczywiście ubóstwo względne występuje w każdym kraju, nawet najbogatszym. Jednak gospodarstwo domowe należące do sfery ubóstwa w kraju zamożnym, np. w Holandii, może mieć dochód, który w skali świata okazuje się całkiem wysoki – nie jest więc wcale ubogie według miary ubóstwa bezwzględnego. </w:t>
      </w:r>
    </w:p>
    <w:p w:rsidR="00AE45D9" w:rsidRDefault="00AE45D9" w:rsidP="00AD261D">
      <w:pPr>
        <w:pStyle w:val="NormalWeb"/>
      </w:pPr>
    </w:p>
    <w:p w:rsidR="00AE45D9" w:rsidRDefault="00AE45D9" w:rsidP="005268D7">
      <w:pPr>
        <w:pStyle w:val="NormalWeb"/>
        <w:numPr>
          <w:ilvl w:val="0"/>
          <w:numId w:val="11"/>
        </w:numPr>
      </w:pPr>
      <w:r>
        <w:t xml:space="preserve">Istota dobrobytu spolecznego </w:t>
      </w:r>
      <w:r>
        <w:br/>
        <w:t>Mierzenie za pomocą PKB, PNB, ale takie wskaźniki nie ukazują w pełni dobrobytu bo to zależy jeszcze od tego w jakim środowisku żyjemy 9poziom skażenia), jakośći służby zdrowia, edukacji, same pieniądze nie mówią jednoznacznie o dobrobycie i dlatego obliczmy:</w:t>
      </w:r>
      <w:r>
        <w:br/>
        <w:t>*HDI</w:t>
      </w:r>
      <w:r>
        <w:br/>
        <w:t xml:space="preserve">-standard życia- PKB per capita PPP(40 tyć S) </w:t>
      </w:r>
      <w:r>
        <w:br/>
        <w:t>-stan zdrowia- długość życia (85 lat)</w:t>
      </w:r>
      <w:r>
        <w:br/>
        <w:t>- wiedza- stopa skolaryzacji i umiejętności czytania i pisania</w:t>
      </w:r>
      <w:r>
        <w:br/>
        <w:t>*GNH</w:t>
      </w:r>
      <w:r>
        <w:br/>
        <w:t>-sprawiedliwy i trwały rozwój społeczno-gospodarczy</w:t>
      </w:r>
      <w:r>
        <w:br/>
        <w:t>-ochrona wartości kulturowych</w:t>
      </w:r>
      <w:r>
        <w:br/>
        <w:t>-dbałość o środowisko naturalne oraz dobre zarządzanie gospodarką i sprawami publicznymi</w:t>
      </w:r>
      <w:r>
        <w:br/>
      </w:r>
      <w:r>
        <w:br/>
        <w:t xml:space="preserve"> </w:t>
      </w:r>
    </w:p>
    <w:p w:rsidR="00AE45D9" w:rsidRDefault="00AE45D9" w:rsidP="005268D7">
      <w:pPr>
        <w:pStyle w:val="NormalWeb"/>
        <w:numPr>
          <w:ilvl w:val="0"/>
          <w:numId w:val="11"/>
        </w:numPr>
      </w:pPr>
      <w:r>
        <w:t>Instrumenty polityki społecznej – patrz pytanie 4</w:t>
      </w:r>
    </w:p>
    <w:p w:rsidR="00AE45D9" w:rsidRDefault="00AE45D9" w:rsidP="005268D7">
      <w:pPr>
        <w:pStyle w:val="NormalWeb"/>
        <w:numPr>
          <w:ilvl w:val="0"/>
          <w:numId w:val="11"/>
        </w:numPr>
      </w:pPr>
      <w:r>
        <w:t xml:space="preserve">Ubostwo - zasieg i dynamika </w:t>
      </w:r>
      <w:r w:rsidRPr="00552625">
        <w:rPr>
          <w:color w:val="FF0000"/>
        </w:rPr>
        <w:t>?</w:t>
      </w:r>
      <w:r>
        <w:rPr>
          <w:color w:val="FF0000"/>
        </w:rPr>
        <w:t>???</w:t>
      </w:r>
    </w:p>
    <w:p w:rsidR="00AE45D9" w:rsidRDefault="00AE45D9" w:rsidP="005268D7">
      <w:pPr>
        <w:pStyle w:val="NormalWeb"/>
        <w:numPr>
          <w:ilvl w:val="0"/>
          <w:numId w:val="11"/>
        </w:numPr>
      </w:pPr>
      <w:r>
        <w:t>Wolny rynek a sprawiedliwość społeczna</w:t>
      </w:r>
      <w:r>
        <w:rPr>
          <w:color w:val="FF0000"/>
        </w:rPr>
        <w:t>?????</w:t>
      </w:r>
      <w:r>
        <w:br/>
        <w:t xml:space="preserve">czy tu należy wolny rynek przyrównać do każdej z ideologii czy jak? </w:t>
      </w:r>
    </w:p>
    <w:p w:rsidR="00AE45D9" w:rsidRDefault="00AE45D9" w:rsidP="005268D7">
      <w:pPr>
        <w:pStyle w:val="NormalWeb"/>
        <w:numPr>
          <w:ilvl w:val="0"/>
          <w:numId w:val="11"/>
        </w:numPr>
      </w:pPr>
      <w:r>
        <w:t xml:space="preserve">minimum socjalne a minimum egzystencji </w:t>
      </w:r>
      <w:r>
        <w:br/>
        <w:t>Minimum egzystencji związane jest z absolutną granicą ubóstwa: dochody są zbyt małe aby utrzymać się przy życiu i zdrowiu- potrzeby w zakresie wyżywienia na poziomie egzystencji.</w:t>
      </w:r>
      <w:r>
        <w:br/>
        <w:t>Minimum socjalne związane ze względną granicą ubóstwa: osoba uboga jest wtedy, gdy się tak czuje, zmienia się to w zależności od czasu i miejsca.</w:t>
      </w:r>
      <w:r>
        <w:br/>
        <w:t>Minimum egzystencji- koszyk artykułów:</w:t>
      </w:r>
      <w:r>
        <w:br/>
        <w:t>-żywność</w:t>
      </w:r>
      <w:r>
        <w:br/>
        <w:t>- leki i środki higieny osobistej</w:t>
      </w:r>
      <w:r>
        <w:br/>
        <w:t>-niezbędne wyposażenie mieszkania</w:t>
      </w:r>
      <w:r>
        <w:br/>
        <w:t>-odzież i obuwie</w:t>
      </w:r>
      <w:r>
        <w:br/>
        <w:t>-wydatki związane z edukacją do wieku obowiązku szkolnego</w:t>
      </w:r>
      <w:r>
        <w:br/>
        <w:t>[przy min socjalnym jeszcze uwzględnia się: transport, komunikację, kulturę, wypoczynek]. Koszyk artykułów mnożymy prze cenę i:</w:t>
      </w:r>
      <w:r>
        <w:br/>
        <w:t>371PLN-&gt; ok12PLN na dzień min egz</w:t>
      </w:r>
      <w:r>
        <w:br/>
        <w:t>812PLN-&gt; ok. 27PLN na dzień min soch</w:t>
      </w:r>
      <w:r>
        <w:br/>
      </w:r>
      <w:r>
        <w:br/>
        <w:t xml:space="preserve">na świecie 1$ dziennie to granica nędzy i 2$ dziennie to granica biedy. Ok. 980 mln ludzi na świecie żyje za 1$!  </w:t>
      </w:r>
    </w:p>
    <w:p w:rsidR="00AE45D9" w:rsidRDefault="00AE45D9" w:rsidP="005268D7">
      <w:pPr>
        <w:pStyle w:val="NormalWeb"/>
        <w:numPr>
          <w:ilvl w:val="0"/>
          <w:numId w:val="11"/>
        </w:numPr>
        <w:spacing w:before="28"/>
      </w:pPr>
      <w:r>
        <w:t>Wartości jakie realizuje polityka społeczna</w:t>
      </w:r>
      <w:r>
        <w:br/>
        <w:t xml:space="preserve">=wartości uniwersalne czyli cele polityki społeczne-&gt; patrz pytanie 6/7 </w:t>
      </w:r>
    </w:p>
    <w:p w:rsidR="00AE45D9" w:rsidRDefault="00AE45D9" w:rsidP="005268D7">
      <w:pPr>
        <w:pStyle w:val="NormalWeb"/>
        <w:numPr>
          <w:ilvl w:val="0"/>
          <w:numId w:val="11"/>
        </w:numPr>
        <w:spacing w:before="28"/>
      </w:pPr>
      <w:r>
        <w:t xml:space="preserve">Dylematy mierzenia dobrobytu indywidualnego </w:t>
      </w:r>
      <w:r>
        <w:br/>
        <w:t>w ujęciu utylitarnym dobrobyt to maksymalizowanie użyteczności zależnej od ilości dóbr i indywidualnych potrzeb</w:t>
      </w:r>
      <w:r>
        <w:br/>
        <w:t>DYLEMATY:</w:t>
      </w:r>
      <w:r>
        <w:br/>
        <w:t>-czym mierzyć? Dochodem/wydatkami/ konsumpcją rzeczywistą?</w:t>
      </w:r>
      <w:r>
        <w:br/>
        <w:t>dochód w gospodarstwie domowym to przychód- koszty=oszczędności czyli strumień uzyskanych środków z posiadanego majątku- każda forma majątku może przynieść dochód. Formy majątku: rzeczowy/fizyczny(domy, auta), finansowy(lokata/ gotówka), prawa, kapitał ludzki(głos dla śpiewaka, nogi dla piłkarza). Biorąc pod uwagę dochód mamy kolejny dylemat: dochód pełny czy pieniężny? Pełny= wynagrodzenia+ niepieniężne korzyści z pracy+ dobra nierynkowe+ domniemana renta+ zyski/straty kapitałowe. Z teoretycznego punktu widzenia pełny ale bierzemy pieniężny, bo łatwiej go zmierzyć. Innym problemem może być problem jednostki dochodowej, np. 4osobowa rodzina-1 osoba zarabia, albo okres zarabiania, np. praca wakacyjna dla studenta i pytanie- bidny/bogaty? W czasie pracy bogaty a poza już nie.</w:t>
      </w:r>
    </w:p>
    <w:p w:rsidR="00AE45D9" w:rsidRDefault="00AE45D9" w:rsidP="005268D7">
      <w:pPr>
        <w:pStyle w:val="Predeterminado"/>
        <w:numPr>
          <w:ilvl w:val="0"/>
          <w:numId w:val="11"/>
        </w:numPr>
      </w:pPr>
      <w:r>
        <w:t xml:space="preserve">Wpływ wolnego rynku na system edukacji. </w:t>
      </w:r>
      <w:r w:rsidRPr="0058010F">
        <w:rPr>
          <w:color w:val="FF0000"/>
        </w:rPr>
        <w:t>?????</w:t>
      </w:r>
    </w:p>
    <w:p w:rsidR="00AE45D9" w:rsidRDefault="00AE45D9" w:rsidP="005268D7">
      <w:pPr>
        <w:pStyle w:val="Predeterminado"/>
        <w:numPr>
          <w:ilvl w:val="0"/>
          <w:numId w:val="11"/>
        </w:numPr>
      </w:pPr>
      <w:r>
        <w:t>Rola sektora publicznego w pomocy społecznej</w:t>
      </w:r>
      <w:r w:rsidRPr="0058010F">
        <w:rPr>
          <w:color w:val="FF0000"/>
        </w:rPr>
        <w:t>?????</w:t>
      </w:r>
      <w:r>
        <w:t xml:space="preserve"> </w:t>
      </w:r>
    </w:p>
    <w:p w:rsidR="00AE45D9" w:rsidRDefault="00AE45D9" w:rsidP="005268D7">
      <w:pPr>
        <w:pStyle w:val="Predeterminado"/>
        <w:numPr>
          <w:ilvl w:val="0"/>
          <w:numId w:val="11"/>
        </w:numPr>
      </w:pPr>
      <w:r>
        <w:t>Kwestia mieszkaniowa</w:t>
      </w:r>
      <w:r w:rsidRPr="00E577AC">
        <w:rPr>
          <w:color w:val="FF0000"/>
        </w:rPr>
        <w:t>?????</w:t>
      </w:r>
    </w:p>
    <w:p w:rsidR="00AE45D9" w:rsidRDefault="00AE45D9" w:rsidP="005268D7">
      <w:pPr>
        <w:pStyle w:val="Predeterminado"/>
        <w:numPr>
          <w:ilvl w:val="0"/>
          <w:numId w:val="11"/>
        </w:numPr>
      </w:pPr>
      <w:r>
        <w:t>Zasada Pareto a sprawiedliwość społeczna. –</w:t>
      </w:r>
      <w:r w:rsidRPr="00E577AC">
        <w:rPr>
          <w:color w:val="FF0000"/>
        </w:rPr>
        <w:t>NIE WIEM JAK TO UGRYŹĆ</w:t>
      </w:r>
      <w:r>
        <w:rPr>
          <w:color w:val="FF0000"/>
        </w:rPr>
        <w:t>!!!!</w:t>
      </w:r>
    </w:p>
    <w:p w:rsidR="00AE45D9" w:rsidRDefault="00AE45D9" w:rsidP="005268D7">
      <w:pPr>
        <w:pStyle w:val="Predeterminado"/>
        <w:numPr>
          <w:ilvl w:val="0"/>
          <w:numId w:val="11"/>
        </w:numPr>
      </w:pPr>
      <w:r>
        <w:t xml:space="preserve">Przyczyny ingerencji panstwa w edukacje - ciezko </w:t>
      </w:r>
      <w:r>
        <w:br/>
        <w:t xml:space="preserve">go wyczuc co chce zeby powiedziec, napewno pytal o instrumenty jakie </w:t>
      </w:r>
      <w:r>
        <w:br/>
        <w:t>mozna zastosowac zeby podniesc efektywnosc i sprawiedliwość</w:t>
      </w:r>
    </w:p>
    <w:p w:rsidR="00AE45D9" w:rsidRDefault="00AE45D9" w:rsidP="005268D7">
      <w:pPr>
        <w:pStyle w:val="Predeterminado"/>
        <w:numPr>
          <w:ilvl w:val="0"/>
          <w:numId w:val="11"/>
        </w:numPr>
      </w:pPr>
      <w:r>
        <w:t xml:space="preserve">dylematy mierników nierówności (ekonomicznych) </w:t>
      </w:r>
    </w:p>
    <w:p w:rsidR="00AE45D9" w:rsidRDefault="00AE45D9" w:rsidP="005268D7">
      <w:pPr>
        <w:pStyle w:val="Predeterminado"/>
        <w:numPr>
          <w:ilvl w:val="0"/>
          <w:numId w:val="11"/>
        </w:numPr>
      </w:pPr>
      <w:r>
        <w:t xml:space="preserve">Problemy mierzenia ubóstwa (chodziło o dochód pełny, granice absolutną i względną i o coś jeszcze, ale nie było mi dane dowiedzieć się o co... na pewno nie o minimum egzystencji) </w:t>
      </w:r>
    </w:p>
    <w:p w:rsidR="00AE45D9" w:rsidRDefault="00AE45D9" w:rsidP="005268D7">
      <w:pPr>
        <w:pStyle w:val="Predeterminado"/>
        <w:numPr>
          <w:ilvl w:val="0"/>
          <w:numId w:val="11"/>
        </w:numPr>
      </w:pPr>
      <w:r>
        <w:t xml:space="preserve">sprawiedliwość a nierówności, </w:t>
      </w:r>
    </w:p>
    <w:p w:rsidR="00AE45D9" w:rsidRDefault="00AE45D9" w:rsidP="005268D7">
      <w:pPr>
        <w:pStyle w:val="Predeterminado"/>
        <w:numPr>
          <w:ilvl w:val="0"/>
          <w:numId w:val="11"/>
        </w:numPr>
      </w:pPr>
      <w:r>
        <w:t>System ubezpieczeń zdrowotnych - warunki efektywnego funkcjonowania</w:t>
      </w:r>
      <w:r>
        <w:br/>
        <w:t>Aby system ubezpieczeń zdrowotnych spełniał warunki efektywnego funkcjonowania musiałyby być spełnione warunki:</w:t>
      </w:r>
      <w:r>
        <w:br/>
        <w:t xml:space="preserve">*prawdopodobieństwo wystąpienia&lt;1 </w:t>
      </w:r>
      <w:r>
        <w:br/>
        <w:t>jeśli bliskie jedności to wprowadzenie ubezpieczeń jest nieopłacalne dla ludzi bo będą musieli dużo zapłacić(jak cukrzyca to do końca życia)</w:t>
      </w:r>
      <w:r>
        <w:br/>
        <w:t>* niezależność zdarzeń (tak ale nie zawsze)</w:t>
      </w:r>
      <w:r>
        <w:br/>
        <w:t>*prawdopodobieństwo możliwe do wyznaczenia</w:t>
      </w:r>
      <w:r>
        <w:br/>
        <w:t>*negatywna selekcja- ubezpieczają się osoby o wysokim ryzyku</w:t>
      </w:r>
      <w:r>
        <w:br/>
        <w:t>*moralny hazard-ryzyko zmiany zachowania</w:t>
      </w:r>
      <w:r>
        <w:br/>
        <w:t>*tendencja do nadkonsumpcji (zwiększa koszty)</w:t>
      </w:r>
      <w:r>
        <w:br/>
        <w:t>*koszty transakcji (im koszty wyższe to w warunkach rynkowych coraz mniej, ale na rynku transakcji dużo, mimo wielu opłat- np. rynek nieruchomości)</w:t>
      </w:r>
      <w:r>
        <w:br/>
        <w:t xml:space="preserve">Jeśli rozwiązania czysto rynkowe to większa część społeczeństwa poza ubezpieczeniami społecznymi </w:t>
      </w:r>
    </w:p>
    <w:p w:rsidR="00AE45D9" w:rsidRDefault="00AE45D9" w:rsidP="005268D7">
      <w:pPr>
        <w:pStyle w:val="Predeterminado"/>
        <w:numPr>
          <w:ilvl w:val="0"/>
          <w:numId w:val="11"/>
        </w:numPr>
      </w:pPr>
      <w:r>
        <w:t>efektywność a zasada Pareto,</w:t>
      </w:r>
      <w:r>
        <w:br/>
        <w:t>efektywność to stosunek efektu do nakładu</w:t>
      </w:r>
      <w:r>
        <w:br/>
        <w:t>Efektywność alokacyjna- najlepsze wykorzystanie ograniczonej ilości zasobów- zasada pareto- optimum alokacyjne:</w:t>
      </w:r>
      <w:r>
        <w:br/>
        <w:t>*słaba wersja mówi, że grupa jednostek zwiększa swój dobrobyt przechodząc od stanu A do stanu B, jeżeli wszystkie jednostki są bardziej usatysfakcjonowane( mają większą użyteczność) w stanie B niż w A</w:t>
      </w:r>
      <w:r>
        <w:br/>
        <w:t>*silna wersja mówi, że grupa jednostek zwiększa swój dobrobyt przechodząc z A do B jeżeli przynajmniej jedna jednostka jest w lepszej sytuacji w B zaś sytuacja żadnej jednostki nie jest gorsza.</w:t>
      </w:r>
      <w:r>
        <w:br/>
        <w:t xml:space="preserve">Gospodarka rzeczywista nie funkcjonuje optymalnie w sensie Pareto, bo nigdy nie jest tak, że nikt nie traci. Działoby się ta, gdyby były spełnione warunki konkurencji doskonałej i kompletności rynków.  </w:t>
      </w:r>
    </w:p>
    <w:p w:rsidR="00AE45D9" w:rsidRDefault="00AE45D9" w:rsidP="005268D7">
      <w:pPr>
        <w:pStyle w:val="Predeterminado"/>
        <w:numPr>
          <w:ilvl w:val="0"/>
          <w:numId w:val="11"/>
        </w:numPr>
      </w:pPr>
      <w:r>
        <w:t xml:space="preserve">Nierówności dochodowe-istota i skutki (trzeba podać oprócz złych skutków, te dobre; jak to się ma do sprawiedliwości społecznej (zależy) i od czego zależy postrzeganie tego jako sprawiedliwe lub nie: od pozycji społecznej (osiąganych dochodów), poglądów i jeszcze </w:t>
      </w:r>
      <w:r>
        <w:br/>
        <w:t xml:space="preserve">jakichś czynników). </w:t>
      </w:r>
      <w:r>
        <w:br/>
        <w:t>patrz 9/10</w:t>
      </w:r>
    </w:p>
    <w:p w:rsidR="00AE45D9" w:rsidRDefault="00AE45D9" w:rsidP="005268D7">
      <w:pPr>
        <w:pStyle w:val="Predeterminado"/>
        <w:numPr>
          <w:ilvl w:val="0"/>
          <w:numId w:val="11"/>
        </w:numPr>
      </w:pPr>
      <w:r>
        <w:t xml:space="preserve">Istota sprawiedliwości społecznej w ochronie zdrowia (tutaj należało podać jakie instrumenty mogą do tej sprawiedliwości prowadzić - ale raczej nie zgadłam o które mu chodziło) </w:t>
      </w:r>
      <w:r>
        <w:rPr>
          <w:color w:val="FF0000"/>
        </w:rPr>
        <w:t>?????????</w:t>
      </w:r>
      <w:r>
        <w:t xml:space="preserve"> </w:t>
      </w:r>
    </w:p>
    <w:p w:rsidR="00AE45D9" w:rsidRDefault="00AE45D9" w:rsidP="00CE6205">
      <w:pPr>
        <w:pStyle w:val="Predeterminado"/>
      </w:pPr>
    </w:p>
    <w:p w:rsidR="00AE45D9" w:rsidRDefault="00AE45D9" w:rsidP="00CE6205">
      <w:pPr>
        <w:pStyle w:val="Predeterminado"/>
        <w:ind w:left="1080"/>
      </w:pPr>
    </w:p>
    <w:p w:rsidR="00AE45D9" w:rsidRDefault="00AE45D9" w:rsidP="005268D7">
      <w:pPr>
        <w:pStyle w:val="Predeterminado"/>
        <w:numPr>
          <w:ilvl w:val="0"/>
          <w:numId w:val="11"/>
        </w:numPr>
      </w:pPr>
      <w:r>
        <w:rPr>
          <w:szCs w:val="24"/>
          <w:lang w:eastAsia="pl-PL"/>
        </w:rPr>
        <w:t>Istota sprawiedliwości społecznej (chodziło o zasługi, prawa, potrzeby)</w:t>
      </w:r>
      <w:r w:rsidRPr="00CE6205">
        <w:rPr>
          <w:color w:val="FF0000"/>
          <w:szCs w:val="24"/>
          <w:lang w:eastAsia="pl-PL"/>
        </w:rPr>
        <w:t xml:space="preserve"> ???</w:t>
      </w:r>
    </w:p>
    <w:p w:rsidR="00AE45D9" w:rsidRDefault="00AE45D9" w:rsidP="005268D7">
      <w:pPr>
        <w:pStyle w:val="Predeterminado"/>
        <w:numPr>
          <w:ilvl w:val="0"/>
          <w:numId w:val="11"/>
        </w:numPr>
      </w:pPr>
      <w:r>
        <w:t xml:space="preserve">koncepcja sprawiedliwości społecznej w myśli utylitarnej. </w:t>
      </w:r>
      <w:r>
        <w:br/>
        <w:t xml:space="preserve">maksymalizacja łącznej użyteczności jest warunkiem sprawiedliwości. Podział byłby równy, gdyby wszyscy mieli taką samą funkcję użyteczności krańcowej. Największe szczęście największej liczby ludzi, dokonania człowieka mają być użyteczne społecznie, oddzielenie motywu od czynu </w:t>
      </w:r>
    </w:p>
    <w:p w:rsidR="00AE45D9" w:rsidRDefault="00AE45D9" w:rsidP="006771D9">
      <w:pPr>
        <w:pStyle w:val="Predeterminado"/>
      </w:pPr>
    </w:p>
    <w:p w:rsidR="00AE45D9" w:rsidRDefault="00AE45D9" w:rsidP="005268D7">
      <w:pPr>
        <w:pStyle w:val="Predeterminado"/>
        <w:numPr>
          <w:ilvl w:val="0"/>
          <w:numId w:val="11"/>
        </w:numPr>
      </w:pPr>
      <w:r>
        <w:t>Wartości realizowane przez PS (pytanie: a dlaczego taki katalog wartości?)</w:t>
      </w:r>
    </w:p>
    <w:p w:rsidR="00AE45D9" w:rsidRDefault="00AE45D9" w:rsidP="005268D7">
      <w:pPr>
        <w:pStyle w:val="Predeterminado"/>
        <w:numPr>
          <w:ilvl w:val="0"/>
          <w:numId w:val="11"/>
        </w:numPr>
      </w:pPr>
      <w:r>
        <w:t>istota sprawiedliwosci społecznej - niezgodności praw i zasług z potrzebami</w:t>
      </w:r>
      <w:r>
        <w:br/>
        <w:t xml:space="preserve">prawa i zasługi, prawa i potrzeby, ale zasługi i potrzeby NIE- to logiczna niemożliwość więc nie da się stworzyć jednej idei sprawiedliwości </w:t>
      </w:r>
    </w:p>
    <w:p w:rsidR="00AE45D9" w:rsidRDefault="00AE45D9" w:rsidP="005268D7">
      <w:pPr>
        <w:pStyle w:val="Predeterminado"/>
        <w:numPr>
          <w:ilvl w:val="0"/>
          <w:numId w:val="11"/>
        </w:numPr>
      </w:pPr>
      <w:r>
        <w:t xml:space="preserve">Metody pomiaru ubóstwa, dobrobytu i nierówności </w:t>
      </w:r>
    </w:p>
    <w:p w:rsidR="00AE45D9" w:rsidRDefault="00AE45D9" w:rsidP="00527674">
      <w:pPr>
        <w:pStyle w:val="Predeterminado"/>
        <w:numPr>
          <w:ilvl w:val="0"/>
          <w:numId w:val="11"/>
        </w:numPr>
      </w:pPr>
      <w:r>
        <w:t xml:space="preserve">Istota sprawiedliwości społecznej w edukacji </w:t>
      </w:r>
      <w:r>
        <w:br/>
        <w:t>System edukacji byłby sprawiedliwy, gdyby nakłady na dwie osoby o takich samych predyspozycjach, chęciach i preferencjach byłyby takie same- mogłyby uzyskać analogiczne wykształcenie. Dochody, pozycja społeczna, miejsce zamieszkania nie powinny mieć wpływu.</w:t>
      </w:r>
    </w:p>
    <w:sectPr w:rsidR="00AE45D9" w:rsidSect="00B65C96">
      <w:pgSz w:w="11906" w:h="16838"/>
      <w:pgMar w:top="1417" w:right="1417" w:bottom="1417" w:left="1417" w:header="708" w:footer="708" w:gutter="0"/>
      <w:cols w:space="708"/>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45D9" w:rsidRDefault="00AE45D9" w:rsidP="00552625">
      <w:pPr>
        <w:spacing w:after="0" w:line="240" w:lineRule="auto"/>
      </w:pPr>
      <w:r>
        <w:separator/>
      </w:r>
    </w:p>
  </w:endnote>
  <w:endnote w:type="continuationSeparator" w:id="0">
    <w:p w:rsidR="00AE45D9" w:rsidRDefault="00AE45D9" w:rsidP="005526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45D9" w:rsidRDefault="00AE45D9" w:rsidP="00552625">
      <w:pPr>
        <w:spacing w:after="0" w:line="240" w:lineRule="auto"/>
      </w:pPr>
      <w:r>
        <w:separator/>
      </w:r>
    </w:p>
  </w:footnote>
  <w:footnote w:type="continuationSeparator" w:id="0">
    <w:p w:rsidR="00AE45D9" w:rsidRDefault="00AE45D9" w:rsidP="0055262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879DC"/>
    <w:multiLevelType w:val="hybridMultilevel"/>
    <w:tmpl w:val="1A629A16"/>
    <w:lvl w:ilvl="0" w:tplc="0415000F">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
    <w:nsid w:val="0C763E09"/>
    <w:multiLevelType w:val="hybridMultilevel"/>
    <w:tmpl w:val="EB6E621A"/>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nsid w:val="10E439C4"/>
    <w:multiLevelType w:val="hybridMultilevel"/>
    <w:tmpl w:val="90E28FA4"/>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nsid w:val="1B011C4B"/>
    <w:multiLevelType w:val="multilevel"/>
    <w:tmpl w:val="2CB23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0F75E36"/>
    <w:multiLevelType w:val="multilevel"/>
    <w:tmpl w:val="2EC81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1433040"/>
    <w:multiLevelType w:val="hybridMultilevel"/>
    <w:tmpl w:val="3DBCD816"/>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nsid w:val="21E50C48"/>
    <w:multiLevelType w:val="multilevel"/>
    <w:tmpl w:val="C158C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B94CDB"/>
    <w:multiLevelType w:val="hybridMultilevel"/>
    <w:tmpl w:val="D4CE685A"/>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nsid w:val="266477DA"/>
    <w:multiLevelType w:val="hybridMultilevel"/>
    <w:tmpl w:val="7C263882"/>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nsid w:val="387C2E35"/>
    <w:multiLevelType w:val="hybridMultilevel"/>
    <w:tmpl w:val="2DDA7A24"/>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nsid w:val="4DB55459"/>
    <w:multiLevelType w:val="hybridMultilevel"/>
    <w:tmpl w:val="0D9EDE1E"/>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nsid w:val="509F346F"/>
    <w:multiLevelType w:val="hybridMultilevel"/>
    <w:tmpl w:val="C4B629E4"/>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nsid w:val="51E2159F"/>
    <w:multiLevelType w:val="hybridMultilevel"/>
    <w:tmpl w:val="5BAC5F5A"/>
    <w:lvl w:ilvl="0" w:tplc="0415000F">
      <w:start w:val="1"/>
      <w:numFmt w:val="decimal"/>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3">
    <w:nsid w:val="56971BFD"/>
    <w:multiLevelType w:val="hybridMultilevel"/>
    <w:tmpl w:val="F654BA2C"/>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nsid w:val="71FC2E0C"/>
    <w:multiLevelType w:val="hybridMultilevel"/>
    <w:tmpl w:val="1C8EEB82"/>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nsid w:val="7C3E185C"/>
    <w:multiLevelType w:val="hybridMultilevel"/>
    <w:tmpl w:val="81A068F8"/>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8"/>
  </w:num>
  <w:num w:numId="2">
    <w:abstractNumId w:val="5"/>
  </w:num>
  <w:num w:numId="3">
    <w:abstractNumId w:val="7"/>
  </w:num>
  <w:num w:numId="4">
    <w:abstractNumId w:val="13"/>
  </w:num>
  <w:num w:numId="5">
    <w:abstractNumId w:val="14"/>
  </w:num>
  <w:num w:numId="6">
    <w:abstractNumId w:val="10"/>
  </w:num>
  <w:num w:numId="7">
    <w:abstractNumId w:val="11"/>
  </w:num>
  <w:num w:numId="8">
    <w:abstractNumId w:val="9"/>
  </w:num>
  <w:num w:numId="9">
    <w:abstractNumId w:val="2"/>
  </w:num>
  <w:num w:numId="10">
    <w:abstractNumId w:val="1"/>
  </w:num>
  <w:num w:numId="11">
    <w:abstractNumId w:val="12"/>
  </w:num>
  <w:num w:numId="12">
    <w:abstractNumId w:val="4"/>
  </w:num>
  <w:num w:numId="13">
    <w:abstractNumId w:val="0"/>
  </w:num>
  <w:num w:numId="14">
    <w:abstractNumId w:val="15"/>
  </w:num>
  <w:num w:numId="15">
    <w:abstractNumId w:val="3"/>
  </w:num>
  <w:num w:numId="1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27674"/>
    <w:rsid w:val="0004231F"/>
    <w:rsid w:val="000D16C3"/>
    <w:rsid w:val="000E3802"/>
    <w:rsid w:val="00123924"/>
    <w:rsid w:val="001D7AF8"/>
    <w:rsid w:val="00367D15"/>
    <w:rsid w:val="00420104"/>
    <w:rsid w:val="0045512E"/>
    <w:rsid w:val="00471BFB"/>
    <w:rsid w:val="005268D7"/>
    <w:rsid w:val="00527674"/>
    <w:rsid w:val="00540CF2"/>
    <w:rsid w:val="00552625"/>
    <w:rsid w:val="0058010F"/>
    <w:rsid w:val="005B0A90"/>
    <w:rsid w:val="005B54D2"/>
    <w:rsid w:val="00632A20"/>
    <w:rsid w:val="006771D9"/>
    <w:rsid w:val="007D1B16"/>
    <w:rsid w:val="008811A1"/>
    <w:rsid w:val="00942C1A"/>
    <w:rsid w:val="009526B1"/>
    <w:rsid w:val="00A71AE5"/>
    <w:rsid w:val="00AD261D"/>
    <w:rsid w:val="00AE45D9"/>
    <w:rsid w:val="00B370D3"/>
    <w:rsid w:val="00B65C96"/>
    <w:rsid w:val="00BE6B20"/>
    <w:rsid w:val="00CB53CC"/>
    <w:rsid w:val="00CE6205"/>
    <w:rsid w:val="00E30211"/>
    <w:rsid w:val="00E577AC"/>
    <w:rsid w:val="00EA0779"/>
    <w:rsid w:val="00EC045B"/>
    <w:rsid w:val="00EC557E"/>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54D2"/>
    <w:pPr>
      <w:spacing w:after="200" w:line="276" w:lineRule="auto"/>
    </w:pPr>
    <w:rPr>
      <w:lang w:eastAsia="en-US"/>
    </w:rPr>
  </w:style>
  <w:style w:type="paragraph" w:styleId="Heading2">
    <w:name w:val="heading 2"/>
    <w:basedOn w:val="Normal"/>
    <w:link w:val="Heading2Char"/>
    <w:uiPriority w:val="99"/>
    <w:qFormat/>
    <w:rsid w:val="005268D7"/>
    <w:pPr>
      <w:spacing w:before="100" w:beforeAutospacing="1" w:after="100" w:afterAutospacing="1" w:line="240" w:lineRule="auto"/>
      <w:outlineLvl w:val="1"/>
    </w:pPr>
    <w:rPr>
      <w:rFonts w:ascii="Times New Roman" w:eastAsia="Times New Roman" w:hAnsi="Times New Roman"/>
      <w:b/>
      <w:bCs/>
      <w:sz w:val="36"/>
      <w:szCs w:val="36"/>
      <w:lang w:eastAsia="pl-PL"/>
    </w:rPr>
  </w:style>
  <w:style w:type="paragraph" w:styleId="Heading3">
    <w:name w:val="heading 3"/>
    <w:basedOn w:val="Normal"/>
    <w:link w:val="Heading3Char"/>
    <w:uiPriority w:val="99"/>
    <w:qFormat/>
    <w:rsid w:val="005268D7"/>
    <w:pPr>
      <w:spacing w:before="100" w:beforeAutospacing="1" w:after="100" w:afterAutospacing="1" w:line="240" w:lineRule="auto"/>
      <w:outlineLvl w:val="2"/>
    </w:pPr>
    <w:rPr>
      <w:rFonts w:ascii="Times New Roman" w:eastAsia="Times New Roman" w:hAnsi="Times New Roman"/>
      <w:b/>
      <w:bCs/>
      <w:sz w:val="27"/>
      <w:szCs w:val="27"/>
      <w:lang w:eastAsia="pl-PL"/>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5268D7"/>
    <w:rPr>
      <w:rFonts w:ascii="Times New Roman" w:hAnsi="Times New Roman" w:cs="Times New Roman"/>
      <w:b/>
      <w:bCs/>
      <w:sz w:val="36"/>
      <w:szCs w:val="36"/>
      <w:lang w:eastAsia="pl-PL"/>
    </w:rPr>
  </w:style>
  <w:style w:type="character" w:customStyle="1" w:styleId="Heading3Char">
    <w:name w:val="Heading 3 Char"/>
    <w:basedOn w:val="DefaultParagraphFont"/>
    <w:link w:val="Heading3"/>
    <w:uiPriority w:val="99"/>
    <w:locked/>
    <w:rsid w:val="005268D7"/>
    <w:rPr>
      <w:rFonts w:ascii="Times New Roman" w:hAnsi="Times New Roman" w:cs="Times New Roman"/>
      <w:b/>
      <w:bCs/>
      <w:sz w:val="27"/>
      <w:szCs w:val="27"/>
      <w:lang w:eastAsia="pl-PL"/>
    </w:rPr>
  </w:style>
  <w:style w:type="paragraph" w:customStyle="1" w:styleId="Predeterminado">
    <w:name w:val="Predeterminado"/>
    <w:uiPriority w:val="99"/>
    <w:rsid w:val="00527674"/>
    <w:pPr>
      <w:tabs>
        <w:tab w:val="left" w:pos="709"/>
      </w:tabs>
      <w:suppressAutoHyphens/>
      <w:spacing w:after="200" w:line="276" w:lineRule="atLeast"/>
    </w:pPr>
    <w:rPr>
      <w:rFonts w:ascii="Times New Roman" w:hAnsi="Times New Roman"/>
      <w:sz w:val="24"/>
      <w:lang w:eastAsia="en-US"/>
    </w:rPr>
  </w:style>
  <w:style w:type="paragraph" w:styleId="NormalWeb">
    <w:name w:val="Normal (Web)"/>
    <w:basedOn w:val="Predeterminado"/>
    <w:uiPriority w:val="99"/>
    <w:rsid w:val="00527674"/>
  </w:style>
  <w:style w:type="character" w:styleId="Hyperlink">
    <w:name w:val="Hyperlink"/>
    <w:basedOn w:val="DefaultParagraphFont"/>
    <w:uiPriority w:val="99"/>
    <w:semiHidden/>
    <w:rsid w:val="005268D7"/>
    <w:rPr>
      <w:rFonts w:cs="Times New Roman"/>
      <w:color w:val="0000FF"/>
      <w:u w:val="single"/>
    </w:rPr>
  </w:style>
  <w:style w:type="character" w:customStyle="1" w:styleId="texhtml">
    <w:name w:val="texhtml"/>
    <w:basedOn w:val="DefaultParagraphFont"/>
    <w:uiPriority w:val="99"/>
    <w:rsid w:val="005268D7"/>
    <w:rPr>
      <w:rFonts w:cs="Times New Roman"/>
    </w:rPr>
  </w:style>
  <w:style w:type="character" w:customStyle="1" w:styleId="mw-headline">
    <w:name w:val="mw-headline"/>
    <w:basedOn w:val="DefaultParagraphFont"/>
    <w:uiPriority w:val="99"/>
    <w:rsid w:val="005268D7"/>
    <w:rPr>
      <w:rFonts w:cs="Times New Roman"/>
    </w:rPr>
  </w:style>
  <w:style w:type="character" w:customStyle="1" w:styleId="editsection">
    <w:name w:val="editsection"/>
    <w:basedOn w:val="DefaultParagraphFont"/>
    <w:uiPriority w:val="99"/>
    <w:rsid w:val="005268D7"/>
    <w:rPr>
      <w:rFonts w:cs="Times New Roman"/>
    </w:rPr>
  </w:style>
  <w:style w:type="paragraph" w:styleId="BalloonText">
    <w:name w:val="Balloon Text"/>
    <w:basedOn w:val="Normal"/>
    <w:link w:val="BalloonTextChar"/>
    <w:uiPriority w:val="99"/>
    <w:semiHidden/>
    <w:rsid w:val="005268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268D7"/>
    <w:rPr>
      <w:rFonts w:ascii="Tahoma" w:hAnsi="Tahoma" w:cs="Tahoma"/>
      <w:sz w:val="16"/>
      <w:szCs w:val="16"/>
    </w:rPr>
  </w:style>
  <w:style w:type="paragraph" w:styleId="ListParagraph">
    <w:name w:val="List Paragraph"/>
    <w:basedOn w:val="Normal"/>
    <w:uiPriority w:val="99"/>
    <w:qFormat/>
    <w:rsid w:val="008811A1"/>
    <w:pPr>
      <w:ind w:left="720"/>
      <w:contextualSpacing/>
    </w:pPr>
  </w:style>
  <w:style w:type="character" w:styleId="PlaceholderText">
    <w:name w:val="Placeholder Text"/>
    <w:basedOn w:val="DefaultParagraphFont"/>
    <w:uiPriority w:val="99"/>
    <w:semiHidden/>
    <w:rsid w:val="005B0A90"/>
    <w:rPr>
      <w:rFonts w:cs="Times New Roman"/>
      <w:color w:val="808080"/>
    </w:rPr>
  </w:style>
  <w:style w:type="character" w:styleId="Strong">
    <w:name w:val="Strong"/>
    <w:basedOn w:val="DefaultParagraphFont"/>
    <w:uiPriority w:val="99"/>
    <w:qFormat/>
    <w:rsid w:val="00AD261D"/>
    <w:rPr>
      <w:rFonts w:cs="Times New Roman"/>
      <w:b/>
      <w:bCs/>
    </w:rPr>
  </w:style>
  <w:style w:type="paragraph" w:styleId="EndnoteText">
    <w:name w:val="endnote text"/>
    <w:basedOn w:val="Normal"/>
    <w:link w:val="EndnoteTextChar"/>
    <w:uiPriority w:val="99"/>
    <w:semiHidden/>
    <w:rsid w:val="00552625"/>
    <w:pPr>
      <w:spacing w:after="0" w:line="240" w:lineRule="auto"/>
    </w:pPr>
    <w:rPr>
      <w:sz w:val="20"/>
      <w:szCs w:val="20"/>
    </w:rPr>
  </w:style>
  <w:style w:type="character" w:customStyle="1" w:styleId="EndnoteTextChar">
    <w:name w:val="Endnote Text Char"/>
    <w:basedOn w:val="DefaultParagraphFont"/>
    <w:link w:val="EndnoteText"/>
    <w:uiPriority w:val="99"/>
    <w:semiHidden/>
    <w:locked/>
    <w:rsid w:val="00552625"/>
    <w:rPr>
      <w:rFonts w:cs="Times New Roman"/>
      <w:sz w:val="20"/>
      <w:szCs w:val="20"/>
    </w:rPr>
  </w:style>
  <w:style w:type="character" w:styleId="EndnoteReference">
    <w:name w:val="endnote reference"/>
    <w:basedOn w:val="DefaultParagraphFont"/>
    <w:uiPriority w:val="99"/>
    <w:semiHidden/>
    <w:rsid w:val="00552625"/>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838037189">
      <w:marLeft w:val="0"/>
      <w:marRight w:val="0"/>
      <w:marTop w:val="0"/>
      <w:marBottom w:val="0"/>
      <w:divBdr>
        <w:top w:val="none" w:sz="0" w:space="0" w:color="auto"/>
        <w:left w:val="none" w:sz="0" w:space="0" w:color="auto"/>
        <w:bottom w:val="none" w:sz="0" w:space="0" w:color="auto"/>
        <w:right w:val="none" w:sz="0" w:space="0" w:color="auto"/>
      </w:divBdr>
      <w:divsChild>
        <w:div w:id="838037198">
          <w:marLeft w:val="0"/>
          <w:marRight w:val="0"/>
          <w:marTop w:val="0"/>
          <w:marBottom w:val="0"/>
          <w:divBdr>
            <w:top w:val="none" w:sz="0" w:space="0" w:color="auto"/>
            <w:left w:val="none" w:sz="0" w:space="0" w:color="auto"/>
            <w:bottom w:val="none" w:sz="0" w:space="0" w:color="auto"/>
            <w:right w:val="none" w:sz="0" w:space="0" w:color="auto"/>
          </w:divBdr>
          <w:divsChild>
            <w:div w:id="838037192">
              <w:marLeft w:val="0"/>
              <w:marRight w:val="0"/>
              <w:marTop w:val="0"/>
              <w:marBottom w:val="0"/>
              <w:divBdr>
                <w:top w:val="none" w:sz="0" w:space="0" w:color="auto"/>
                <w:left w:val="none" w:sz="0" w:space="0" w:color="auto"/>
                <w:bottom w:val="none" w:sz="0" w:space="0" w:color="auto"/>
                <w:right w:val="none" w:sz="0" w:space="0" w:color="auto"/>
              </w:divBdr>
              <w:divsChild>
                <w:div w:id="838037191">
                  <w:marLeft w:val="0"/>
                  <w:marRight w:val="0"/>
                  <w:marTop w:val="0"/>
                  <w:marBottom w:val="0"/>
                  <w:divBdr>
                    <w:top w:val="none" w:sz="0" w:space="0" w:color="auto"/>
                    <w:left w:val="none" w:sz="0" w:space="0" w:color="auto"/>
                    <w:bottom w:val="none" w:sz="0" w:space="0" w:color="auto"/>
                    <w:right w:val="none" w:sz="0" w:space="0" w:color="auto"/>
                  </w:divBdr>
                  <w:divsChild>
                    <w:div w:id="838037202">
                      <w:marLeft w:val="0"/>
                      <w:marRight w:val="0"/>
                      <w:marTop w:val="0"/>
                      <w:marBottom w:val="0"/>
                      <w:divBdr>
                        <w:top w:val="none" w:sz="0" w:space="0" w:color="auto"/>
                        <w:left w:val="none" w:sz="0" w:space="0" w:color="auto"/>
                        <w:bottom w:val="none" w:sz="0" w:space="0" w:color="auto"/>
                        <w:right w:val="none" w:sz="0" w:space="0" w:color="auto"/>
                      </w:divBdr>
                      <w:divsChild>
                        <w:div w:id="838037207">
                          <w:marLeft w:val="0"/>
                          <w:marRight w:val="0"/>
                          <w:marTop w:val="0"/>
                          <w:marBottom w:val="0"/>
                          <w:divBdr>
                            <w:top w:val="none" w:sz="0" w:space="0" w:color="auto"/>
                            <w:left w:val="none" w:sz="0" w:space="0" w:color="auto"/>
                            <w:bottom w:val="none" w:sz="0" w:space="0" w:color="auto"/>
                            <w:right w:val="none" w:sz="0" w:space="0" w:color="auto"/>
                          </w:divBdr>
                          <w:divsChild>
                            <w:div w:id="83803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8037203">
                  <w:marLeft w:val="0"/>
                  <w:marRight w:val="0"/>
                  <w:marTop w:val="0"/>
                  <w:marBottom w:val="0"/>
                  <w:divBdr>
                    <w:top w:val="none" w:sz="0" w:space="0" w:color="auto"/>
                    <w:left w:val="none" w:sz="0" w:space="0" w:color="auto"/>
                    <w:bottom w:val="none" w:sz="0" w:space="0" w:color="auto"/>
                    <w:right w:val="none" w:sz="0" w:space="0" w:color="auto"/>
                  </w:divBdr>
                  <w:divsChild>
                    <w:div w:id="838037197">
                      <w:marLeft w:val="0"/>
                      <w:marRight w:val="0"/>
                      <w:marTop w:val="0"/>
                      <w:marBottom w:val="0"/>
                      <w:divBdr>
                        <w:top w:val="none" w:sz="0" w:space="0" w:color="auto"/>
                        <w:left w:val="none" w:sz="0" w:space="0" w:color="auto"/>
                        <w:bottom w:val="none" w:sz="0" w:space="0" w:color="auto"/>
                        <w:right w:val="none" w:sz="0" w:space="0" w:color="auto"/>
                      </w:divBdr>
                      <w:divsChild>
                        <w:div w:id="838037199">
                          <w:marLeft w:val="0"/>
                          <w:marRight w:val="0"/>
                          <w:marTop w:val="0"/>
                          <w:marBottom w:val="0"/>
                          <w:divBdr>
                            <w:top w:val="none" w:sz="0" w:space="0" w:color="auto"/>
                            <w:left w:val="none" w:sz="0" w:space="0" w:color="auto"/>
                            <w:bottom w:val="none" w:sz="0" w:space="0" w:color="auto"/>
                            <w:right w:val="none" w:sz="0" w:space="0" w:color="auto"/>
                          </w:divBdr>
                          <w:divsChild>
                            <w:div w:id="838037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8037204">
                  <w:marLeft w:val="0"/>
                  <w:marRight w:val="0"/>
                  <w:marTop w:val="0"/>
                  <w:marBottom w:val="0"/>
                  <w:divBdr>
                    <w:top w:val="none" w:sz="0" w:space="0" w:color="auto"/>
                    <w:left w:val="none" w:sz="0" w:space="0" w:color="auto"/>
                    <w:bottom w:val="none" w:sz="0" w:space="0" w:color="auto"/>
                    <w:right w:val="none" w:sz="0" w:space="0" w:color="auto"/>
                  </w:divBdr>
                  <w:divsChild>
                    <w:div w:id="838037200">
                      <w:marLeft w:val="0"/>
                      <w:marRight w:val="0"/>
                      <w:marTop w:val="0"/>
                      <w:marBottom w:val="0"/>
                      <w:divBdr>
                        <w:top w:val="none" w:sz="0" w:space="0" w:color="auto"/>
                        <w:left w:val="none" w:sz="0" w:space="0" w:color="auto"/>
                        <w:bottom w:val="none" w:sz="0" w:space="0" w:color="auto"/>
                        <w:right w:val="none" w:sz="0" w:space="0" w:color="auto"/>
                      </w:divBdr>
                      <w:divsChild>
                        <w:div w:id="838037205">
                          <w:marLeft w:val="0"/>
                          <w:marRight w:val="0"/>
                          <w:marTop w:val="0"/>
                          <w:marBottom w:val="0"/>
                          <w:divBdr>
                            <w:top w:val="none" w:sz="0" w:space="0" w:color="auto"/>
                            <w:left w:val="none" w:sz="0" w:space="0" w:color="auto"/>
                            <w:bottom w:val="none" w:sz="0" w:space="0" w:color="auto"/>
                            <w:right w:val="none" w:sz="0" w:space="0" w:color="auto"/>
                          </w:divBdr>
                          <w:divsChild>
                            <w:div w:id="83803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8037201">
      <w:marLeft w:val="0"/>
      <w:marRight w:val="0"/>
      <w:marTop w:val="0"/>
      <w:marBottom w:val="0"/>
      <w:divBdr>
        <w:top w:val="none" w:sz="0" w:space="0" w:color="auto"/>
        <w:left w:val="none" w:sz="0" w:space="0" w:color="auto"/>
        <w:bottom w:val="none" w:sz="0" w:space="0" w:color="auto"/>
        <w:right w:val="none" w:sz="0" w:space="0" w:color="auto"/>
      </w:divBdr>
      <w:divsChild>
        <w:div w:id="838037196">
          <w:marLeft w:val="0"/>
          <w:marRight w:val="0"/>
          <w:marTop w:val="0"/>
          <w:marBottom w:val="0"/>
          <w:divBdr>
            <w:top w:val="none" w:sz="0" w:space="0" w:color="auto"/>
            <w:left w:val="none" w:sz="0" w:space="0" w:color="auto"/>
            <w:bottom w:val="none" w:sz="0" w:space="0" w:color="auto"/>
            <w:right w:val="none" w:sz="0" w:space="0" w:color="auto"/>
          </w:divBdr>
          <w:divsChild>
            <w:div w:id="83803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037206">
      <w:marLeft w:val="0"/>
      <w:marRight w:val="0"/>
      <w:marTop w:val="0"/>
      <w:marBottom w:val="0"/>
      <w:divBdr>
        <w:top w:val="none" w:sz="0" w:space="0" w:color="auto"/>
        <w:left w:val="none" w:sz="0" w:space="0" w:color="auto"/>
        <w:bottom w:val="none" w:sz="0" w:space="0" w:color="auto"/>
        <w:right w:val="none" w:sz="0" w:space="0" w:color="auto"/>
      </w:divBdr>
      <w:divsChild>
        <w:div w:id="838037188">
          <w:marLeft w:val="0"/>
          <w:marRight w:val="0"/>
          <w:marTop w:val="0"/>
          <w:marBottom w:val="0"/>
          <w:divBdr>
            <w:top w:val="none" w:sz="0" w:space="0" w:color="auto"/>
            <w:left w:val="none" w:sz="0" w:space="0" w:color="auto"/>
            <w:bottom w:val="none" w:sz="0" w:space="0" w:color="auto"/>
            <w:right w:val="none" w:sz="0" w:space="0" w:color="auto"/>
          </w:divBdr>
          <w:divsChild>
            <w:div w:id="83803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l.wikipedia.org/wiki/Plik:Gini_coefficient.svg" TargetMode="External"/><Relationship Id="rId13" Type="http://schemas.openxmlformats.org/officeDocument/2006/relationships/hyperlink" Target="http://pl.wikipedia.org/wiki/Krzywa_Lorenza" TargetMode="External"/><Relationship Id="rId18" Type="http://schemas.openxmlformats.org/officeDocument/2006/relationships/image" Target="media/image4.png"/><Relationship Id="rId26" Type="http://schemas.openxmlformats.org/officeDocument/2006/relationships/hyperlink" Target="http://pl.wikipedia.org/w/index.php?title=Kwestia_spo%C5%82eczna&amp;action=edit&amp;redlink=1" TargetMode="External"/><Relationship Id="rId39" Type="http://schemas.openxmlformats.org/officeDocument/2006/relationships/hyperlink" Target="http://pl.wikipedia.org/wiki/P%C5%82aca" TargetMode="External"/><Relationship Id="rId3" Type="http://schemas.openxmlformats.org/officeDocument/2006/relationships/settings" Target="settings.xml"/><Relationship Id="rId21" Type="http://schemas.openxmlformats.org/officeDocument/2006/relationships/hyperlink" Target="http://pl.wikipedia.org/wiki/Gospodarstwo_domowe" TargetMode="External"/><Relationship Id="rId34" Type="http://schemas.openxmlformats.org/officeDocument/2006/relationships/hyperlink" Target="http://pl.wikipedia.org/wiki/System_opieki_zdrowotnej_w_Polsce" TargetMode="External"/><Relationship Id="rId42" Type="http://schemas.openxmlformats.org/officeDocument/2006/relationships/hyperlink" Target="http://pl.wikipedia.org/wiki/Ochrona_przyrody" TargetMode="External"/><Relationship Id="rId7" Type="http://schemas.openxmlformats.org/officeDocument/2006/relationships/hyperlink" Target="http://pl.wikipedia.org/w/index.php?title=Wsp%C3%B3%C5%82czynnik_Giniego&amp;action=edit&amp;section=2" TargetMode="External"/><Relationship Id="rId12" Type="http://schemas.openxmlformats.org/officeDocument/2006/relationships/hyperlink" Target="http://pl.wikipedia.org/wiki/Pole_powierzchni" TargetMode="External"/><Relationship Id="rId17" Type="http://schemas.openxmlformats.org/officeDocument/2006/relationships/hyperlink" Target="http://pl.wikipedia.org/wiki/Plik:World_Map_Gini_coefficient.svg" TargetMode="External"/><Relationship Id="rId25" Type="http://schemas.openxmlformats.org/officeDocument/2006/relationships/hyperlink" Target="http://pl.wikipedia.org/wiki/Doch%C3%B3d" TargetMode="External"/><Relationship Id="rId33" Type="http://schemas.openxmlformats.org/officeDocument/2006/relationships/hyperlink" Target="http://pl.wikipedia.org/w/index.php?title=Polityka_kulturalna&amp;action=edit&amp;redlink=1" TargetMode="External"/><Relationship Id="rId38" Type="http://schemas.openxmlformats.org/officeDocument/2006/relationships/hyperlink" Target="http://pl.wikipedia.org/wiki/Bezrobocie" TargetMode="External"/><Relationship Id="rId2" Type="http://schemas.openxmlformats.org/officeDocument/2006/relationships/styles" Target="styles.xml"/><Relationship Id="rId16" Type="http://schemas.openxmlformats.org/officeDocument/2006/relationships/hyperlink" Target="http://pl.wikipedia.org/w/index.php?title=Wsp%C3%B3%C5%82czynnik_Giniego&amp;action=edit&amp;section=4" TargetMode="External"/><Relationship Id="rId20" Type="http://schemas.openxmlformats.org/officeDocument/2006/relationships/hyperlink" Target="http://pl.wikipedia.org/wiki/Doch%C3%B3d" TargetMode="External"/><Relationship Id="rId29" Type="http://schemas.openxmlformats.org/officeDocument/2006/relationships/image" Target="media/image6.png"/><Relationship Id="rId41" Type="http://schemas.openxmlformats.org/officeDocument/2006/relationships/hyperlink" Target="http://pl.wikipedia.org/wiki/Pomoc_spo%C5%82eczn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hyperlink" Target="http://pl.wikipedia.org/wiki/Plik:Gini-koval.gif" TargetMode="External"/><Relationship Id="rId32" Type="http://schemas.openxmlformats.org/officeDocument/2006/relationships/hyperlink" Target="http://pl.wikipedia.org/wiki/Polityka_edukacyjna" TargetMode="External"/><Relationship Id="rId37" Type="http://schemas.openxmlformats.org/officeDocument/2006/relationships/hyperlink" Target="http://pl.wikipedia.org/wiki/Polityka_zatrudnienia" TargetMode="External"/><Relationship Id="rId40" Type="http://schemas.openxmlformats.org/officeDocument/2006/relationships/hyperlink" Target="http://pl.wikipedia.org/wiki/BHP"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image" Target="media/image5.png"/><Relationship Id="rId28" Type="http://schemas.openxmlformats.org/officeDocument/2006/relationships/hyperlink" Target="http://pl.wikipedia.org/wiki/Konflikt_spo%C5%82eczny" TargetMode="External"/><Relationship Id="rId36" Type="http://schemas.openxmlformats.org/officeDocument/2006/relationships/hyperlink" Target="http://pl.wikipedia.org/w/index.php?title=Polityka_migracyjna&amp;action=edit&amp;redlink=1" TargetMode="External"/><Relationship Id="rId10" Type="http://schemas.openxmlformats.org/officeDocument/2006/relationships/hyperlink" Target="http://pl.wikipedia.org/wiki/Plik:Gini_coefficient.svg" TargetMode="External"/><Relationship Id="rId19" Type="http://schemas.openxmlformats.org/officeDocument/2006/relationships/hyperlink" Target="http://pl.wikipedia.org/wiki/Plik:World_Map_Gini_coefficient.svg" TargetMode="External"/><Relationship Id="rId31" Type="http://schemas.openxmlformats.org/officeDocument/2006/relationships/hyperlink" Target="http://pl.wikipedia.org/wiki/Polityka_rodzinna"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pl.wikipedia.org/wiki/Kwadrat_jednostkowy" TargetMode="External"/><Relationship Id="rId22" Type="http://schemas.openxmlformats.org/officeDocument/2006/relationships/hyperlink" Target="http://pl.wikipedia.org/wiki/Plik:Gini-koval.gif" TargetMode="External"/><Relationship Id="rId27" Type="http://schemas.openxmlformats.org/officeDocument/2006/relationships/hyperlink" Target="http://pl.wikipedia.org/wiki/Marginalizacja" TargetMode="External"/><Relationship Id="rId30" Type="http://schemas.openxmlformats.org/officeDocument/2006/relationships/hyperlink" Target="http://pl.wikipedia.org/wiki/Polityka_demograficzna" TargetMode="External"/><Relationship Id="rId35" Type="http://schemas.openxmlformats.org/officeDocument/2006/relationships/hyperlink" Target="http://pl.wikipedia.org/wiki/Polityka_mieszkaniowa" TargetMode="External"/><Relationship Id="rId43" Type="http://schemas.openxmlformats.org/officeDocument/2006/relationships/hyperlink" Target="http://pl.wikipedia.org/wiki/Dewiacja_spo%C5%82eczn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11</Pages>
  <Words>3954</Words>
  <Characters>23728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user</dc:creator>
  <cp:keywords/>
  <dc:description/>
  <cp:lastModifiedBy>Marzenka</cp:lastModifiedBy>
  <cp:revision>2</cp:revision>
  <cp:lastPrinted>2011-02-08T10:38:00Z</cp:lastPrinted>
  <dcterms:created xsi:type="dcterms:W3CDTF">2011-02-08T10:39:00Z</dcterms:created>
  <dcterms:modified xsi:type="dcterms:W3CDTF">2011-02-08T10:39:00Z</dcterms:modified>
</cp:coreProperties>
</file>